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4E2" w:rsidRPr="00B86A59" w:rsidRDefault="002544E2" w:rsidP="00951CC2">
      <w:pPr>
        <w:pStyle w:val="Normln1"/>
        <w:rPr>
          <w:rFonts w:asciiTheme="minorHAnsi" w:eastAsia="Calibri" w:hAnsiTheme="minorHAnsi" w:cstheme="minorHAnsi"/>
          <w:b/>
          <w:color w:val="auto"/>
          <w:sz w:val="24"/>
          <w:szCs w:val="24"/>
        </w:rPr>
      </w:pPr>
    </w:p>
    <w:p w:rsidR="00703873" w:rsidRPr="00B86A59" w:rsidRDefault="00703873" w:rsidP="00FB2EF6">
      <w:pPr>
        <w:pStyle w:val="Normln1"/>
        <w:ind w:right="-426"/>
        <w:rPr>
          <w:rFonts w:asciiTheme="minorHAnsi" w:eastAsia="Calibri" w:hAnsiTheme="minorHAnsi" w:cstheme="minorHAnsi"/>
          <w:color w:val="auto"/>
          <w:sz w:val="24"/>
          <w:szCs w:val="24"/>
        </w:rPr>
      </w:pPr>
      <w:bookmarkStart w:id="0" w:name="_GoBack"/>
      <w:bookmarkEnd w:id="0"/>
    </w:p>
    <w:p w:rsidR="00703873" w:rsidRDefault="00703873" w:rsidP="00FB2EF6">
      <w:pPr>
        <w:pStyle w:val="Normln1"/>
        <w:ind w:right="-426"/>
        <w:rPr>
          <w:rFonts w:asciiTheme="minorHAnsi" w:eastAsia="Calibri" w:hAnsiTheme="minorHAnsi" w:cstheme="minorHAnsi"/>
          <w:color w:val="auto"/>
          <w:sz w:val="24"/>
          <w:szCs w:val="24"/>
        </w:rPr>
      </w:pPr>
    </w:p>
    <w:p w:rsidR="002D1EB0" w:rsidRDefault="002D1EB0" w:rsidP="002D1EB0">
      <w:pPr>
        <w:pStyle w:val="Nadpis1"/>
        <w:numPr>
          <w:ilvl w:val="0"/>
          <w:numId w:val="8"/>
        </w:numPr>
        <w:suppressAutoHyphens/>
        <w:overflowPunct w:val="0"/>
        <w:autoSpaceDE w:val="0"/>
        <w:jc w:val="center"/>
      </w:pPr>
      <w:r>
        <w:t>ZPRÁVA O ČINNOSTI VÝBORU SVJ</w:t>
      </w:r>
    </w:p>
    <w:p w:rsidR="002D1EB0" w:rsidRDefault="002D1EB0" w:rsidP="002D1EB0">
      <w:pPr>
        <w:jc w:val="center"/>
        <w:rPr>
          <w:b/>
          <w:bCs/>
          <w:sz w:val="24"/>
        </w:rPr>
      </w:pPr>
      <w:r>
        <w:rPr>
          <w:b/>
          <w:bCs/>
          <w:sz w:val="24"/>
        </w:rPr>
        <w:t xml:space="preserve">v době od posledního 19. shromáždění Společenství vlastníků Kurkova 1206 - 1212, Praha 8 </w:t>
      </w:r>
    </w:p>
    <w:p w:rsidR="002D1EB0" w:rsidRDefault="002D1EB0" w:rsidP="002D1EB0">
      <w:pPr>
        <w:jc w:val="center"/>
        <w:rPr>
          <w:sz w:val="24"/>
        </w:rPr>
      </w:pPr>
      <w:r>
        <w:rPr>
          <w:b/>
          <w:bCs/>
          <w:sz w:val="24"/>
        </w:rPr>
        <w:t>(dále jen SVJ) konaného 22. 11. 2022.</w:t>
      </w:r>
    </w:p>
    <w:p w:rsidR="002D1EB0" w:rsidRPr="00FF34F9" w:rsidRDefault="002D1EB0" w:rsidP="002D1EB0">
      <w:pPr>
        <w:pStyle w:val="Zkladntext"/>
        <w:jc w:val="both"/>
        <w:rPr>
          <w:rFonts w:asciiTheme="minorHAnsi" w:hAnsiTheme="minorHAnsi"/>
        </w:rPr>
      </w:pPr>
    </w:p>
    <w:p w:rsidR="002D1EB0" w:rsidRPr="00732559" w:rsidRDefault="002D1EB0" w:rsidP="00945CDD">
      <w:pPr>
        <w:pStyle w:val="Zkladntext"/>
        <w:spacing w:after="120"/>
        <w:jc w:val="both"/>
        <w:rPr>
          <w:rFonts w:asciiTheme="minorHAnsi" w:hAnsiTheme="minorHAnsi"/>
          <w:szCs w:val="24"/>
        </w:rPr>
      </w:pPr>
      <w:r w:rsidRPr="00732559">
        <w:rPr>
          <w:rFonts w:asciiTheme="minorHAnsi" w:hAnsiTheme="minorHAnsi"/>
          <w:szCs w:val="24"/>
        </w:rPr>
        <w:t xml:space="preserve">Výbor v tomto období uskutečnil </w:t>
      </w:r>
      <w:r>
        <w:rPr>
          <w:rFonts w:asciiTheme="minorHAnsi" w:hAnsiTheme="minorHAnsi"/>
          <w:szCs w:val="24"/>
        </w:rPr>
        <w:t>20</w:t>
      </w:r>
      <w:r w:rsidRPr="00732559">
        <w:rPr>
          <w:rFonts w:asciiTheme="minorHAnsi" w:hAnsiTheme="minorHAnsi"/>
          <w:szCs w:val="24"/>
        </w:rPr>
        <w:t xml:space="preserve"> schůzí výboru. Veškeré zápisy z jednání výboru byly následně vyvěšovány ve vitrínách v jednotlivých sekcích. Průběžně jste byli informováni o všech záležitostech, které výbor na svých zasedáních řešil. </w:t>
      </w:r>
    </w:p>
    <w:p w:rsidR="002D1EB0" w:rsidRDefault="002D1EB0" w:rsidP="00945CDD">
      <w:pPr>
        <w:pStyle w:val="Zkladntext"/>
        <w:spacing w:after="120"/>
        <w:jc w:val="both"/>
        <w:rPr>
          <w:rFonts w:asciiTheme="minorHAnsi" w:hAnsiTheme="minorHAnsi"/>
          <w:szCs w:val="24"/>
        </w:rPr>
      </w:pPr>
      <w:r w:rsidRPr="00732559">
        <w:rPr>
          <w:rFonts w:asciiTheme="minorHAnsi" w:hAnsiTheme="minorHAnsi"/>
          <w:szCs w:val="24"/>
        </w:rPr>
        <w:t>Vzhledem k tomu, že 1</w:t>
      </w:r>
      <w:r>
        <w:rPr>
          <w:rFonts w:asciiTheme="minorHAnsi" w:hAnsiTheme="minorHAnsi"/>
          <w:szCs w:val="24"/>
        </w:rPr>
        <w:t>9</w:t>
      </w:r>
      <w:r w:rsidRPr="00732559">
        <w:rPr>
          <w:rFonts w:asciiTheme="minorHAnsi" w:hAnsiTheme="minorHAnsi"/>
          <w:szCs w:val="24"/>
        </w:rPr>
        <w:t xml:space="preserve">. shromáždění SVJ se zúčastnilo pouze </w:t>
      </w:r>
      <w:r>
        <w:rPr>
          <w:rFonts w:asciiTheme="minorHAnsi" w:hAnsiTheme="minorHAnsi"/>
          <w:szCs w:val="24"/>
        </w:rPr>
        <w:t>10</w:t>
      </w:r>
      <w:r w:rsidRPr="005452C6">
        <w:rPr>
          <w:rFonts w:asciiTheme="minorHAnsi" w:hAnsiTheme="minorHAnsi"/>
          <w:szCs w:val="24"/>
        </w:rPr>
        <w:t>,</w:t>
      </w:r>
      <w:r>
        <w:rPr>
          <w:rFonts w:asciiTheme="minorHAnsi" w:hAnsiTheme="minorHAnsi"/>
          <w:szCs w:val="24"/>
        </w:rPr>
        <w:t>76</w:t>
      </w:r>
      <w:r w:rsidRPr="00732559">
        <w:rPr>
          <w:rFonts w:asciiTheme="minorHAnsi" w:hAnsiTheme="minorHAnsi"/>
          <w:szCs w:val="24"/>
        </w:rPr>
        <w:t xml:space="preserve"> % vlastníků, uskutečnilo se v souladu se Stanovami SVJ ve dnech </w:t>
      </w:r>
      <w:r>
        <w:rPr>
          <w:rFonts w:asciiTheme="minorHAnsi" w:hAnsiTheme="minorHAnsi"/>
          <w:szCs w:val="24"/>
        </w:rPr>
        <w:t>6</w:t>
      </w:r>
      <w:r w:rsidRPr="00732559">
        <w:rPr>
          <w:rFonts w:asciiTheme="minorHAnsi" w:hAnsiTheme="minorHAnsi"/>
          <w:szCs w:val="24"/>
        </w:rPr>
        <w:t xml:space="preserve">. </w:t>
      </w:r>
      <w:r>
        <w:rPr>
          <w:rFonts w:asciiTheme="minorHAnsi" w:hAnsiTheme="minorHAnsi"/>
          <w:szCs w:val="24"/>
        </w:rPr>
        <w:t>12</w:t>
      </w:r>
      <w:r w:rsidRPr="00732559">
        <w:rPr>
          <w:rFonts w:asciiTheme="minorHAnsi" w:hAnsiTheme="minorHAnsi"/>
          <w:szCs w:val="24"/>
        </w:rPr>
        <w:t>. 20</w:t>
      </w:r>
      <w:r>
        <w:rPr>
          <w:rFonts w:asciiTheme="minorHAnsi" w:hAnsiTheme="minorHAnsi"/>
          <w:szCs w:val="24"/>
        </w:rPr>
        <w:t>22</w:t>
      </w:r>
      <w:r w:rsidRPr="00732559">
        <w:rPr>
          <w:rFonts w:asciiTheme="minorHAnsi" w:hAnsiTheme="minorHAnsi"/>
          <w:szCs w:val="24"/>
        </w:rPr>
        <w:t xml:space="preserve"> až </w:t>
      </w:r>
      <w:r>
        <w:rPr>
          <w:rFonts w:asciiTheme="minorHAnsi" w:hAnsiTheme="minorHAnsi"/>
          <w:szCs w:val="24"/>
        </w:rPr>
        <w:t>10</w:t>
      </w:r>
      <w:r w:rsidRPr="00732559">
        <w:rPr>
          <w:rFonts w:asciiTheme="minorHAnsi" w:hAnsiTheme="minorHAnsi"/>
          <w:szCs w:val="24"/>
        </w:rPr>
        <w:t xml:space="preserve">. </w:t>
      </w:r>
      <w:r>
        <w:rPr>
          <w:rFonts w:asciiTheme="minorHAnsi" w:hAnsiTheme="minorHAnsi"/>
          <w:szCs w:val="24"/>
        </w:rPr>
        <w:t>1</w:t>
      </w:r>
      <w:r w:rsidRPr="00732559">
        <w:rPr>
          <w:rFonts w:asciiTheme="minorHAnsi" w:hAnsiTheme="minorHAnsi"/>
          <w:szCs w:val="24"/>
        </w:rPr>
        <w:t>. 20</w:t>
      </w:r>
      <w:r>
        <w:rPr>
          <w:rFonts w:asciiTheme="minorHAnsi" w:hAnsiTheme="minorHAnsi"/>
          <w:szCs w:val="24"/>
        </w:rPr>
        <w:t>23</w:t>
      </w:r>
      <w:r w:rsidRPr="00732559">
        <w:rPr>
          <w:rFonts w:asciiTheme="minorHAnsi" w:hAnsiTheme="minorHAnsi"/>
          <w:szCs w:val="24"/>
        </w:rPr>
        <w:t xml:space="preserve"> hlasování per rollam k odsouhlasení Usnesení.</w:t>
      </w:r>
      <w:r>
        <w:rPr>
          <w:rFonts w:asciiTheme="minorHAnsi" w:hAnsiTheme="minorHAnsi"/>
          <w:szCs w:val="24"/>
        </w:rPr>
        <w:t xml:space="preserve"> </w:t>
      </w:r>
      <w:r w:rsidRPr="00732559">
        <w:rPr>
          <w:rFonts w:asciiTheme="minorHAnsi" w:hAnsiTheme="minorHAnsi"/>
          <w:szCs w:val="24"/>
        </w:rPr>
        <w:t xml:space="preserve">Usnesení bylo přijato </w:t>
      </w:r>
      <w:r>
        <w:rPr>
          <w:rFonts w:asciiTheme="minorHAnsi" w:hAnsiTheme="minorHAnsi"/>
          <w:szCs w:val="24"/>
        </w:rPr>
        <w:t>79,06</w:t>
      </w:r>
      <w:r w:rsidRPr="00541DAF">
        <w:rPr>
          <w:rFonts w:asciiTheme="minorHAnsi" w:hAnsiTheme="minorHAnsi"/>
          <w:szCs w:val="24"/>
        </w:rPr>
        <w:t>% hlasů</w:t>
      </w:r>
      <w:r w:rsidRPr="00732559">
        <w:rPr>
          <w:rFonts w:asciiTheme="minorHAnsi" w:hAnsiTheme="minorHAnsi"/>
          <w:szCs w:val="24"/>
        </w:rPr>
        <w:t>. Výsledky hlasování byly vyvěšeny ve vitrínách ve vstupních halách.</w:t>
      </w:r>
    </w:p>
    <w:p w:rsidR="002D1EB0" w:rsidRPr="00732559" w:rsidRDefault="002D1EB0" w:rsidP="00945CDD">
      <w:pPr>
        <w:pStyle w:val="Zkladntext"/>
        <w:spacing w:after="120"/>
        <w:jc w:val="both"/>
        <w:rPr>
          <w:rFonts w:asciiTheme="minorHAnsi" w:hAnsiTheme="minorHAnsi"/>
          <w:szCs w:val="24"/>
        </w:rPr>
      </w:pPr>
      <w:r>
        <w:rPr>
          <w:rFonts w:asciiTheme="minorHAnsi" w:hAnsiTheme="minorHAnsi"/>
          <w:szCs w:val="24"/>
        </w:rPr>
        <w:t xml:space="preserve">Ve vchodu 1210 byly podle projektu s vyztuženým upevněním rámu (fa Elfmark), v prosinci 2022 nainstalovány nové vstupní dveře s otevíráním na čip a s motorovým zavíračem, který dokáže dveře zavřít i za větru (dodavatel fa Kaltmeyer). Po odladění nastavení byly v září dveře vyměněny i ve zbylých vchodech. Dveře mají na sobě čidlo, aby se zastavily před překážkou. Pro odchod stačí mávnout rukou před prosvíceným snímačem napravo, čip tam není třeba. Při výpadku energie je čtečka čipů a zámek napájen baterií, ale dveřmi je nutno pohnout ručně, zevnitř klikou. Ztracený čip (jeho číslo) nahlaste </w:t>
      </w:r>
      <w:r w:rsidR="00945CDD">
        <w:rPr>
          <w:rFonts w:asciiTheme="minorHAnsi" w:hAnsiTheme="minorHAnsi"/>
          <w:szCs w:val="24"/>
        </w:rPr>
        <w:t>výboru, aby mohl být zablokován a tím nemohlo dojít k jeho zneužití.</w:t>
      </w:r>
    </w:p>
    <w:p w:rsidR="002D1EB0" w:rsidRDefault="002D1EB0" w:rsidP="00945CDD">
      <w:pPr>
        <w:pStyle w:val="Zkladntext"/>
        <w:spacing w:after="120"/>
        <w:jc w:val="both"/>
        <w:rPr>
          <w:rFonts w:asciiTheme="minorHAnsi" w:hAnsiTheme="minorHAnsi"/>
          <w:b/>
          <w:szCs w:val="24"/>
        </w:rPr>
      </w:pPr>
      <w:r w:rsidRPr="00732559">
        <w:rPr>
          <w:rFonts w:asciiTheme="minorHAnsi" w:hAnsiTheme="minorHAnsi"/>
          <w:szCs w:val="24"/>
        </w:rPr>
        <w:t xml:space="preserve">V průchozích chodbách, které </w:t>
      </w:r>
      <w:r>
        <w:rPr>
          <w:rFonts w:asciiTheme="minorHAnsi" w:hAnsiTheme="minorHAnsi"/>
          <w:szCs w:val="24"/>
        </w:rPr>
        <w:t xml:space="preserve">se </w:t>
      </w:r>
      <w:r w:rsidRPr="00732559">
        <w:rPr>
          <w:rFonts w:asciiTheme="minorHAnsi" w:hAnsiTheme="minorHAnsi"/>
          <w:szCs w:val="24"/>
        </w:rPr>
        <w:t>jako únikové cesty nemohou zamykat, občas přespí bezdomovci</w:t>
      </w:r>
      <w:r>
        <w:rPr>
          <w:rFonts w:asciiTheme="minorHAnsi" w:hAnsiTheme="minorHAnsi"/>
          <w:szCs w:val="24"/>
        </w:rPr>
        <w:t xml:space="preserve"> a zanechávají nepořádek</w:t>
      </w:r>
      <w:r w:rsidRPr="00732559">
        <w:rPr>
          <w:rFonts w:asciiTheme="minorHAnsi" w:hAnsiTheme="minorHAnsi"/>
          <w:szCs w:val="24"/>
        </w:rPr>
        <w:t>.</w:t>
      </w:r>
      <w:r>
        <w:rPr>
          <w:rFonts w:asciiTheme="minorHAnsi" w:hAnsiTheme="minorHAnsi"/>
          <w:szCs w:val="24"/>
        </w:rPr>
        <w:t xml:space="preserve"> Kradou boty a jiné věci odložené obyvateli před dveřmi. Tito nezvaní návštěvníci do domu vnikli různým způsobem – předstírali, že nemohou najít klíče a vešli s někým, využili nezavřených dveří při větru – tento způsob snad s novými dveřmi už nebude. </w:t>
      </w:r>
      <w:r w:rsidRPr="00A868B0">
        <w:rPr>
          <w:rFonts w:asciiTheme="minorHAnsi" w:hAnsiTheme="minorHAnsi"/>
          <w:b/>
          <w:szCs w:val="24"/>
        </w:rPr>
        <w:t>Je na nás všech se starat o společný majetek</w:t>
      </w:r>
      <w:r>
        <w:rPr>
          <w:rFonts w:asciiTheme="minorHAnsi" w:hAnsiTheme="minorHAnsi"/>
          <w:b/>
          <w:szCs w:val="24"/>
        </w:rPr>
        <w:t>, nepouštět do domu neznámé osoby</w:t>
      </w:r>
      <w:r w:rsidRPr="00A868B0">
        <w:rPr>
          <w:rFonts w:asciiTheme="minorHAnsi" w:hAnsiTheme="minorHAnsi"/>
          <w:b/>
          <w:szCs w:val="24"/>
        </w:rPr>
        <w:t>.</w:t>
      </w:r>
    </w:p>
    <w:p w:rsidR="002D1EB0" w:rsidRDefault="002D1EB0" w:rsidP="00945CDD">
      <w:pPr>
        <w:pStyle w:val="Zkladntext"/>
        <w:spacing w:after="120"/>
        <w:jc w:val="both"/>
        <w:rPr>
          <w:rFonts w:asciiTheme="minorHAnsi" w:hAnsiTheme="minorHAnsi"/>
          <w:szCs w:val="24"/>
        </w:rPr>
      </w:pPr>
      <w:r w:rsidRPr="00732559">
        <w:rPr>
          <w:rFonts w:asciiTheme="minorHAnsi" w:hAnsiTheme="minorHAnsi"/>
          <w:szCs w:val="24"/>
        </w:rPr>
        <w:t>Byl</w:t>
      </w:r>
      <w:r>
        <w:rPr>
          <w:rFonts w:asciiTheme="minorHAnsi" w:hAnsiTheme="minorHAnsi"/>
          <w:szCs w:val="24"/>
        </w:rPr>
        <w:t>y</w:t>
      </w:r>
      <w:r w:rsidRPr="00732559">
        <w:rPr>
          <w:rFonts w:asciiTheme="minorHAnsi" w:hAnsiTheme="minorHAnsi"/>
          <w:szCs w:val="24"/>
        </w:rPr>
        <w:t xml:space="preserve"> prov</w:t>
      </w:r>
      <w:r>
        <w:rPr>
          <w:rFonts w:asciiTheme="minorHAnsi" w:hAnsiTheme="minorHAnsi"/>
          <w:szCs w:val="24"/>
        </w:rPr>
        <w:t>áděny pravidelné</w:t>
      </w:r>
      <w:r w:rsidRPr="00732559">
        <w:rPr>
          <w:rFonts w:asciiTheme="minorHAnsi" w:hAnsiTheme="minorHAnsi"/>
          <w:szCs w:val="24"/>
        </w:rPr>
        <w:t xml:space="preserve"> protipožární kontrol</w:t>
      </w:r>
      <w:r>
        <w:rPr>
          <w:rFonts w:asciiTheme="minorHAnsi" w:hAnsiTheme="minorHAnsi"/>
          <w:szCs w:val="24"/>
        </w:rPr>
        <w:t>y</w:t>
      </w:r>
      <w:r w:rsidRPr="00732559">
        <w:rPr>
          <w:rFonts w:asciiTheme="minorHAnsi" w:hAnsiTheme="minorHAnsi"/>
          <w:szCs w:val="24"/>
        </w:rPr>
        <w:t xml:space="preserve"> všech společných prostor</w:t>
      </w:r>
      <w:r>
        <w:rPr>
          <w:rFonts w:asciiTheme="minorHAnsi" w:hAnsiTheme="minorHAnsi"/>
          <w:szCs w:val="24"/>
        </w:rPr>
        <w:t xml:space="preserve">, dveří, nouzového osvětlení, hasicí techniky – ing. Toman. Byla provedena </w:t>
      </w:r>
      <w:r w:rsidRPr="00732559">
        <w:rPr>
          <w:rFonts w:asciiTheme="minorHAnsi" w:hAnsiTheme="minorHAnsi"/>
          <w:szCs w:val="24"/>
        </w:rPr>
        <w:t>revize plynu</w:t>
      </w:r>
      <w:r>
        <w:rPr>
          <w:rFonts w:asciiTheme="minorHAnsi" w:hAnsiTheme="minorHAnsi"/>
          <w:szCs w:val="24"/>
        </w:rPr>
        <w:t xml:space="preserve"> ve společných prostorách – p. Kylar. </w:t>
      </w:r>
      <w:r w:rsidRPr="00732559">
        <w:rPr>
          <w:rFonts w:asciiTheme="minorHAnsi" w:hAnsiTheme="minorHAnsi"/>
          <w:szCs w:val="24"/>
        </w:rPr>
        <w:t>Průběžně se odstraňují závady z preventivní</w:t>
      </w:r>
      <w:r>
        <w:rPr>
          <w:rFonts w:asciiTheme="minorHAnsi" w:hAnsiTheme="minorHAnsi"/>
          <w:szCs w:val="24"/>
        </w:rPr>
        <w:t>ch</w:t>
      </w:r>
      <w:r w:rsidRPr="00732559">
        <w:rPr>
          <w:rFonts w:asciiTheme="minorHAnsi" w:hAnsiTheme="minorHAnsi"/>
          <w:szCs w:val="24"/>
        </w:rPr>
        <w:t xml:space="preserve"> požární</w:t>
      </w:r>
      <w:r>
        <w:rPr>
          <w:rFonts w:asciiTheme="minorHAnsi" w:hAnsiTheme="minorHAnsi"/>
          <w:szCs w:val="24"/>
        </w:rPr>
        <w:t>ch</w:t>
      </w:r>
      <w:r w:rsidRPr="00732559">
        <w:rPr>
          <w:rFonts w:asciiTheme="minorHAnsi" w:hAnsiTheme="minorHAnsi"/>
          <w:szCs w:val="24"/>
        </w:rPr>
        <w:t xml:space="preserve"> kontrol</w:t>
      </w:r>
      <w:r>
        <w:rPr>
          <w:rFonts w:asciiTheme="minorHAnsi" w:hAnsiTheme="minorHAnsi"/>
          <w:szCs w:val="24"/>
        </w:rPr>
        <w:t>,</w:t>
      </w:r>
      <w:r w:rsidRPr="00732559">
        <w:rPr>
          <w:rFonts w:asciiTheme="minorHAnsi" w:hAnsiTheme="minorHAnsi"/>
          <w:szCs w:val="24"/>
        </w:rPr>
        <w:t xml:space="preserve"> zejména nabádání k odklizení odložených věcí.</w:t>
      </w:r>
      <w:r>
        <w:rPr>
          <w:rFonts w:asciiTheme="minorHAnsi" w:hAnsiTheme="minorHAnsi"/>
          <w:szCs w:val="24"/>
        </w:rPr>
        <w:t xml:space="preserve"> Na chodbách, které jsou únikovou cestou, ani na lodžiích, nesmějí být hořlavé nebo překážející předměty. Hasičům vadí na chodbě např. i květiny nebo koberec místo rohožky, pokud na něj není doklad o reakci na oheň alespoň Cfl-S1. Při jakékoli budoucí výměně bytových a jiných dveří, ústících do únikové cesty, musejí být dveře požárně odolné nejméně </w:t>
      </w:r>
      <w:r w:rsidRPr="00FC20ED">
        <w:rPr>
          <w:rFonts w:asciiTheme="minorHAnsi" w:hAnsiTheme="minorHAnsi"/>
          <w:szCs w:val="24"/>
        </w:rPr>
        <w:t>EI 30 DP3</w:t>
      </w:r>
      <w:r>
        <w:rPr>
          <w:rFonts w:asciiTheme="minorHAnsi" w:hAnsiTheme="minorHAnsi"/>
          <w:szCs w:val="24"/>
        </w:rPr>
        <w:t>.</w:t>
      </w:r>
    </w:p>
    <w:p w:rsidR="002D1EB0" w:rsidRDefault="002D1EB0" w:rsidP="00945CDD">
      <w:pPr>
        <w:pStyle w:val="Zkladntext"/>
        <w:spacing w:after="120"/>
        <w:jc w:val="both"/>
        <w:rPr>
          <w:rFonts w:asciiTheme="minorHAnsi" w:hAnsiTheme="minorHAnsi"/>
          <w:szCs w:val="24"/>
        </w:rPr>
      </w:pPr>
      <w:r>
        <w:rPr>
          <w:rFonts w:asciiTheme="minorHAnsi" w:hAnsiTheme="minorHAnsi"/>
          <w:szCs w:val="24"/>
        </w:rPr>
        <w:t xml:space="preserve">Na vodorovném rozvodu TV v technickém podlaží pod domem letos došlo k 5 prasknutím. U demontovaných částí cca 20 let starých plastových trubek vnitřní povrch </w:t>
      </w:r>
      <w:r w:rsidRPr="00153447">
        <w:rPr>
          <w:rFonts w:asciiTheme="minorHAnsi" w:hAnsiTheme="minorHAnsi"/>
          <w:szCs w:val="24"/>
        </w:rPr>
        <w:t>vykazuje praskliny</w:t>
      </w:r>
      <w:r>
        <w:rPr>
          <w:rFonts w:asciiTheme="minorHAnsi" w:hAnsiTheme="minorHAnsi"/>
          <w:szCs w:val="24"/>
        </w:rPr>
        <w:t>, což znamená konec životnosti. Navíc Hygienická stanice hl. m. Prahy shledala, že v rozvodech TV máme legionellu. Jako dočasné opatření byla zvýšena teplota ohřevu z 57 na 60°C, ale v nejvzdálenějších částech rozvodu i tak teplota klesá pod 45°C, kdy se již legionella množí. Chemickou dezinfekci by staré části potrubí už nemusely vydržet. Změny nastavení cirkulace dle rad dřívějšího projektanta stoupaček (ing. Haluška) pomohly jen málo. Namísto původně uvažované prosté výměny jsme proto nechali zpracovat projekt včetně výpočtu cirkulace (ing. Krpata) a to z nerezového potrubí, které by mělo mít delší životnost v teplotně nejvíce zatížených místech (kde staré potrubí nejčastěji praskalo), menší náchylnost ke vzniku biofilmů, a kvůli menší tloušťce stěny umožní vést jednu silnější větev místo dvou jako nyní, čímž se také zlepší cirkulace. Obdrželi jsme nabídky od firem Sirovátka, Inmes, Cigdus.</w:t>
      </w:r>
    </w:p>
    <w:p w:rsidR="002D1EB0" w:rsidRPr="00931BEB" w:rsidRDefault="002D1EB0" w:rsidP="00945CDD">
      <w:pPr>
        <w:pStyle w:val="Zkladntext"/>
        <w:spacing w:after="120"/>
        <w:jc w:val="both"/>
        <w:rPr>
          <w:rFonts w:asciiTheme="minorHAnsi" w:hAnsiTheme="minorHAnsi"/>
          <w:szCs w:val="24"/>
        </w:rPr>
      </w:pPr>
      <w:r>
        <w:rPr>
          <w:rFonts w:asciiTheme="minorHAnsi" w:hAnsiTheme="minorHAnsi"/>
          <w:szCs w:val="24"/>
        </w:rPr>
        <w:t xml:space="preserve">Na základě revizní zprávy fa Sirovátka letos vyměnila hlavní uzávěry plynu na stoupačkách a uzávěry plynu v bytech. Hlavní uzávěry ze skladových a pronajatých místností byly kvůli přístupnosti přesunuty do vestibulu a budou zakryty skříňkou, podobně jako v jiných domech na našem sídlišti. </w:t>
      </w:r>
      <w:r w:rsidRPr="00550557">
        <w:rPr>
          <w:rFonts w:asciiTheme="minorHAnsi" w:hAnsiTheme="minorHAnsi"/>
          <w:szCs w:val="24"/>
        </w:rPr>
        <w:t>Ještě letos proběhne revize plynových stoupaček tj. i s návštěvou bytů.</w:t>
      </w:r>
      <w:r>
        <w:rPr>
          <w:rFonts w:asciiTheme="minorHAnsi" w:hAnsiTheme="minorHAnsi"/>
          <w:szCs w:val="24"/>
        </w:rPr>
        <w:t xml:space="preserve"> </w:t>
      </w:r>
    </w:p>
    <w:p w:rsidR="002D1EB0" w:rsidRDefault="002D1EB0" w:rsidP="00945CDD">
      <w:pPr>
        <w:pStyle w:val="Zkladntext"/>
        <w:spacing w:after="120"/>
        <w:jc w:val="both"/>
        <w:rPr>
          <w:rFonts w:asciiTheme="minorHAnsi" w:hAnsiTheme="minorHAnsi"/>
          <w:szCs w:val="24"/>
        </w:rPr>
      </w:pPr>
      <w:r>
        <w:rPr>
          <w:rFonts w:asciiTheme="minorHAnsi" w:hAnsiTheme="minorHAnsi"/>
          <w:szCs w:val="24"/>
        </w:rPr>
        <w:t xml:space="preserve">Trvalým problémem jsou holubi, kteří se na domě usazují i hnízdí. Při odchytové akce v zimě (firma Toman) bylo u nás odchyceno 132 holubů a 79 na domě Hrubého. </w:t>
      </w:r>
      <w:r w:rsidRPr="00D76C02">
        <w:rPr>
          <w:rFonts w:asciiTheme="minorHAnsi" w:hAnsiTheme="minorHAnsi"/>
          <w:b/>
          <w:szCs w:val="24"/>
        </w:rPr>
        <w:t xml:space="preserve">Žádáme obyvatele domu, aby holuby nekrmili ani </w:t>
      </w:r>
      <w:r w:rsidRPr="00D76C02">
        <w:rPr>
          <w:rFonts w:asciiTheme="minorHAnsi" w:hAnsiTheme="minorHAnsi"/>
          <w:b/>
          <w:szCs w:val="24"/>
        </w:rPr>
        <w:lastRenderedPageBreak/>
        <w:t xml:space="preserve">nestrpěli hnízdění, </w:t>
      </w:r>
      <w:r>
        <w:rPr>
          <w:rFonts w:asciiTheme="minorHAnsi" w:hAnsiTheme="minorHAnsi"/>
          <w:b/>
          <w:szCs w:val="24"/>
        </w:rPr>
        <w:t xml:space="preserve">naučí se pobývat na našem domě </w:t>
      </w:r>
      <w:r w:rsidRPr="00D76C02">
        <w:rPr>
          <w:rFonts w:asciiTheme="minorHAnsi" w:hAnsiTheme="minorHAnsi"/>
          <w:b/>
          <w:szCs w:val="24"/>
        </w:rPr>
        <w:t>a odvděčí se nám jen</w:t>
      </w:r>
      <w:r>
        <w:rPr>
          <w:rFonts w:asciiTheme="minorHAnsi" w:hAnsiTheme="minorHAnsi"/>
          <w:szCs w:val="24"/>
        </w:rPr>
        <w:t xml:space="preserve"> </w:t>
      </w:r>
      <w:r w:rsidRPr="00D76C02">
        <w:rPr>
          <w:rFonts w:asciiTheme="minorHAnsi" w:hAnsiTheme="minorHAnsi"/>
          <w:b/>
          <w:szCs w:val="24"/>
        </w:rPr>
        <w:t>trusem a parazity</w:t>
      </w:r>
      <w:r>
        <w:rPr>
          <w:rFonts w:asciiTheme="minorHAnsi" w:hAnsiTheme="minorHAnsi"/>
          <w:szCs w:val="24"/>
        </w:rPr>
        <w:t>. V kolektoru se objevili potkani, fa Adera položila nástrahy a doporučila lepší zakrytí vpustí a prostupů do městského kolektoru.</w:t>
      </w:r>
    </w:p>
    <w:p w:rsidR="002D1EB0" w:rsidRDefault="002D1EB0" w:rsidP="00945CDD">
      <w:pPr>
        <w:pStyle w:val="Zkladntext"/>
        <w:spacing w:after="120"/>
        <w:jc w:val="both"/>
        <w:rPr>
          <w:rFonts w:asciiTheme="minorHAnsi" w:hAnsiTheme="minorHAnsi"/>
          <w:szCs w:val="24"/>
        </w:rPr>
      </w:pPr>
      <w:r>
        <w:rPr>
          <w:rFonts w:asciiTheme="minorHAnsi" w:hAnsiTheme="minorHAnsi"/>
          <w:szCs w:val="24"/>
        </w:rPr>
        <w:t>Byla zjištěna nefunkčnost regulátoru diferenciálního tlaku topení pro vchody 1206-07, výměna je objednána u fy Cigdus. Proběhly odborné zkoušky výtahů, z nichž vyplynula nutnost oprav opotřebených částí. Opravu konzolí pod lodžiemi, propadlého chodníku za domem, o</w:t>
      </w:r>
      <w:r w:rsidRPr="00732559">
        <w:rPr>
          <w:rFonts w:asciiTheme="minorHAnsi" w:hAnsiTheme="minorHAnsi"/>
          <w:szCs w:val="24"/>
        </w:rPr>
        <w:t>prav</w:t>
      </w:r>
      <w:r>
        <w:rPr>
          <w:rFonts w:asciiTheme="minorHAnsi" w:hAnsiTheme="minorHAnsi"/>
          <w:szCs w:val="24"/>
        </w:rPr>
        <w:t>y</w:t>
      </w:r>
      <w:r w:rsidRPr="00732559">
        <w:rPr>
          <w:rFonts w:asciiTheme="minorHAnsi" w:hAnsiTheme="minorHAnsi"/>
          <w:szCs w:val="24"/>
        </w:rPr>
        <w:t xml:space="preserve"> </w:t>
      </w:r>
      <w:r>
        <w:rPr>
          <w:rFonts w:asciiTheme="minorHAnsi" w:hAnsiTheme="minorHAnsi"/>
          <w:szCs w:val="24"/>
        </w:rPr>
        <w:t>různých drobných závad a pomocné práce při jiných opravách</w:t>
      </w:r>
      <w:r w:rsidRPr="00732559">
        <w:rPr>
          <w:rFonts w:asciiTheme="minorHAnsi" w:hAnsiTheme="minorHAnsi"/>
          <w:szCs w:val="24"/>
        </w:rPr>
        <w:t xml:space="preserve"> </w:t>
      </w:r>
      <w:r>
        <w:rPr>
          <w:rFonts w:asciiTheme="minorHAnsi" w:hAnsiTheme="minorHAnsi"/>
          <w:szCs w:val="24"/>
        </w:rPr>
        <w:t>průběžně provádí fa Vokurka</w:t>
      </w:r>
      <w:r w:rsidRPr="00732559">
        <w:rPr>
          <w:rFonts w:asciiTheme="minorHAnsi" w:hAnsiTheme="minorHAnsi"/>
          <w:szCs w:val="24"/>
        </w:rPr>
        <w:t>.</w:t>
      </w:r>
    </w:p>
    <w:p w:rsidR="002D1EB0" w:rsidRPr="00945CDD" w:rsidRDefault="002D1EB0" w:rsidP="00945CDD">
      <w:pPr>
        <w:pStyle w:val="Zkladntextodsazen"/>
        <w:ind w:left="0"/>
        <w:jc w:val="both"/>
        <w:rPr>
          <w:rFonts w:asciiTheme="minorHAnsi" w:hAnsiTheme="minorHAnsi" w:cstheme="minorHAnsi"/>
          <w:sz w:val="24"/>
          <w:szCs w:val="24"/>
        </w:rPr>
      </w:pPr>
      <w:r w:rsidRPr="00945CDD">
        <w:rPr>
          <w:rFonts w:asciiTheme="minorHAnsi" w:hAnsiTheme="minorHAnsi" w:cstheme="minorHAnsi"/>
          <w:sz w:val="24"/>
          <w:szCs w:val="24"/>
        </w:rPr>
        <w:t>V lednu 2024 se budou měnit bytové vodoměry (5 let ověření) a měřiče na topení (životnost 10 let). Podle zákona o hospodaření energií 406/2000 §7/11 už musejí být s dálkovým odečtem, a podle zákona o službách 67/2013 §8a budeme muset pravidelně poskytovat „informace o spotřebě“ tepla a teplé vody. Po konzultaci u fy BeiT se výbor rozhodl zůstat u stávajícího dodavatele (fa Inmes) a ve smlouvě neznemožnit přechod jinam.  Pravidla pro náhradní rozúčtování vody současná zákonná úprava neupravuje, výbor je stanovil a jsou uvedena v přiložené rozvaze na příští rok.</w:t>
      </w:r>
    </w:p>
    <w:p w:rsidR="002D1EB0" w:rsidRPr="00945CDD" w:rsidRDefault="002D1EB0" w:rsidP="00945CDD">
      <w:pPr>
        <w:pStyle w:val="Zkladntextodsazen"/>
        <w:ind w:left="0"/>
        <w:jc w:val="both"/>
        <w:rPr>
          <w:rFonts w:asciiTheme="minorHAnsi" w:hAnsiTheme="minorHAnsi" w:cstheme="minorHAnsi"/>
          <w:sz w:val="24"/>
          <w:szCs w:val="24"/>
        </w:rPr>
      </w:pPr>
      <w:r w:rsidRPr="00945CDD">
        <w:rPr>
          <w:rFonts w:asciiTheme="minorHAnsi" w:hAnsiTheme="minorHAnsi" w:cstheme="minorHAnsi"/>
          <w:sz w:val="24"/>
          <w:szCs w:val="24"/>
        </w:rPr>
        <w:t>Vzhledem k nutnosti navýšení pojištění, aby náš dům nebyl podpojištěn, jsme s pojištěním domu přešli k pojišťovně Allianz, po posouzení nabídek Kooperativy (dosavadní) a VZP. Ve spolupráci s advokátkou Mgr. Petráskovou připravujeme nové znění stanov, v reakci na novelizaci bytového spoluvlastnictví v občanském zákoníku 163/2020 Sb. a na poznatky z praxe, na něž upozorňují na seminářích SMBD. Návrh stanov jste loni dostali k připomínkám. Konečnou verzi obdržíte elektronicky a na vyžádání i papírově.</w:t>
      </w:r>
    </w:p>
    <w:p w:rsidR="002D1EB0" w:rsidRDefault="002D1EB0" w:rsidP="00945CDD">
      <w:pPr>
        <w:spacing w:after="120"/>
        <w:jc w:val="both"/>
        <w:rPr>
          <w:rFonts w:asciiTheme="minorHAnsi" w:hAnsiTheme="minorHAnsi"/>
          <w:sz w:val="24"/>
          <w:szCs w:val="24"/>
        </w:rPr>
      </w:pPr>
      <w:r w:rsidRPr="00480B7C">
        <w:rPr>
          <w:rFonts w:asciiTheme="minorHAnsi" w:hAnsiTheme="minorHAnsi"/>
          <w:color w:val="auto"/>
          <w:sz w:val="24"/>
          <w:szCs w:val="24"/>
        </w:rPr>
        <w:t>Tak jako každý rok byla věnována velká pozornost řešení nedoplatků uživatelů. K 30.</w:t>
      </w:r>
      <w:r>
        <w:rPr>
          <w:rFonts w:asciiTheme="minorHAnsi" w:hAnsiTheme="minorHAnsi"/>
          <w:sz w:val="24"/>
          <w:szCs w:val="24"/>
        </w:rPr>
        <w:t xml:space="preserve"> </w:t>
      </w:r>
      <w:r w:rsidRPr="00480B7C">
        <w:rPr>
          <w:rFonts w:asciiTheme="minorHAnsi" w:hAnsiTheme="minorHAnsi"/>
          <w:color w:val="auto"/>
          <w:sz w:val="24"/>
          <w:szCs w:val="24"/>
        </w:rPr>
        <w:t>8.</w:t>
      </w:r>
      <w:r>
        <w:rPr>
          <w:rFonts w:asciiTheme="minorHAnsi" w:hAnsiTheme="minorHAnsi"/>
          <w:sz w:val="24"/>
          <w:szCs w:val="24"/>
        </w:rPr>
        <w:t xml:space="preserve"> </w:t>
      </w:r>
      <w:r w:rsidRPr="00480B7C">
        <w:rPr>
          <w:rFonts w:asciiTheme="minorHAnsi" w:hAnsiTheme="minorHAnsi"/>
          <w:color w:val="auto"/>
          <w:sz w:val="24"/>
          <w:szCs w:val="24"/>
        </w:rPr>
        <w:t>2023 činil nedoplatek 50000,-Kč za nezaplacení poplatků za byt a 250,-Kč za pronajaté komory. Většinou se jednalo o jednu platbu nebo špatně nastavenou výši platby. Dva vlastníci mají nedoplatek ve výši 34144,-Kč. Na nedoplatky byli plátci upozorněni. V jednom případě jde o vlastníka, který odmítal provést odečet vodoměrů a na upomínky nereagoval. Proto bylo použito ustanovení vyhlášky 269/2015 §4/4 o fikci spotřeby</w:t>
      </w:r>
      <w:r w:rsidRPr="0029662D">
        <w:rPr>
          <w:rFonts w:asciiTheme="minorHAnsi" w:hAnsiTheme="minorHAnsi"/>
          <w:sz w:val="24"/>
          <w:szCs w:val="24"/>
        </w:rPr>
        <w:t xml:space="preserve">. </w:t>
      </w:r>
    </w:p>
    <w:p w:rsidR="002D1EB0" w:rsidRDefault="002D1EB0" w:rsidP="00945CDD">
      <w:pPr>
        <w:spacing w:after="120"/>
        <w:jc w:val="both"/>
        <w:rPr>
          <w:rFonts w:asciiTheme="minorHAnsi" w:hAnsiTheme="minorHAnsi"/>
          <w:sz w:val="24"/>
          <w:szCs w:val="24"/>
        </w:rPr>
      </w:pPr>
      <w:r w:rsidRPr="00DA6D44">
        <w:rPr>
          <w:rFonts w:asciiTheme="minorHAnsi" w:hAnsiTheme="minorHAnsi"/>
          <w:sz w:val="24"/>
          <w:szCs w:val="24"/>
        </w:rPr>
        <w:t>V roce 20</w:t>
      </w:r>
      <w:r>
        <w:rPr>
          <w:rFonts w:asciiTheme="minorHAnsi" w:hAnsiTheme="minorHAnsi"/>
          <w:sz w:val="24"/>
          <w:szCs w:val="24"/>
        </w:rPr>
        <w:t>23</w:t>
      </w:r>
      <w:r w:rsidRPr="00DA6D44">
        <w:rPr>
          <w:rFonts w:asciiTheme="minorHAnsi" w:hAnsiTheme="minorHAnsi"/>
          <w:sz w:val="24"/>
          <w:szCs w:val="24"/>
        </w:rPr>
        <w:t xml:space="preserve"> by</w:t>
      </w:r>
      <w:r>
        <w:rPr>
          <w:rFonts w:asciiTheme="minorHAnsi" w:hAnsiTheme="minorHAnsi"/>
          <w:sz w:val="24"/>
          <w:szCs w:val="24"/>
        </w:rPr>
        <w:t>la uzavřena</w:t>
      </w:r>
      <w:r w:rsidRPr="00DA6D44">
        <w:rPr>
          <w:rFonts w:asciiTheme="minorHAnsi" w:hAnsiTheme="minorHAnsi"/>
          <w:sz w:val="24"/>
          <w:szCs w:val="24"/>
        </w:rPr>
        <w:t xml:space="preserve"> </w:t>
      </w:r>
      <w:r w:rsidR="007D128C">
        <w:rPr>
          <w:rFonts w:asciiTheme="minorHAnsi" w:hAnsiTheme="minorHAnsi"/>
          <w:sz w:val="24"/>
          <w:szCs w:val="24"/>
        </w:rPr>
        <w:t xml:space="preserve">jedna </w:t>
      </w:r>
      <w:r w:rsidRPr="00DA6D44">
        <w:rPr>
          <w:rFonts w:asciiTheme="minorHAnsi" w:hAnsiTheme="minorHAnsi"/>
          <w:sz w:val="24"/>
          <w:szCs w:val="24"/>
        </w:rPr>
        <w:t>DPP –</w:t>
      </w:r>
      <w:r>
        <w:rPr>
          <w:rFonts w:asciiTheme="minorHAnsi" w:hAnsiTheme="minorHAnsi"/>
          <w:sz w:val="24"/>
          <w:szCs w:val="24"/>
        </w:rPr>
        <w:t xml:space="preserve"> Vrba </w:t>
      </w:r>
      <w:r w:rsidRPr="00DA6D44">
        <w:rPr>
          <w:rFonts w:asciiTheme="minorHAnsi" w:hAnsiTheme="minorHAnsi"/>
          <w:sz w:val="24"/>
          <w:szCs w:val="24"/>
        </w:rPr>
        <w:t xml:space="preserve">– </w:t>
      </w:r>
      <w:r>
        <w:rPr>
          <w:rFonts w:asciiTheme="minorHAnsi" w:hAnsiTheme="minorHAnsi"/>
          <w:sz w:val="24"/>
          <w:szCs w:val="24"/>
        </w:rPr>
        <w:t>dozor výtahů</w:t>
      </w:r>
      <w:r w:rsidRPr="00DA6D44">
        <w:rPr>
          <w:rFonts w:asciiTheme="minorHAnsi" w:hAnsiTheme="minorHAnsi"/>
          <w:sz w:val="24"/>
          <w:szCs w:val="24"/>
        </w:rPr>
        <w:t>.</w:t>
      </w:r>
      <w:r>
        <w:rPr>
          <w:rFonts w:asciiTheme="minorHAnsi" w:hAnsiTheme="minorHAnsi"/>
          <w:sz w:val="24"/>
          <w:szCs w:val="24"/>
        </w:rPr>
        <w:t xml:space="preserve"> </w:t>
      </w:r>
    </w:p>
    <w:p w:rsidR="002D1EB0" w:rsidRPr="00732559" w:rsidRDefault="002D1EB0" w:rsidP="00945CDD">
      <w:pPr>
        <w:pStyle w:val="Zkladntext"/>
        <w:spacing w:after="120"/>
        <w:jc w:val="both"/>
        <w:rPr>
          <w:rFonts w:asciiTheme="minorHAnsi" w:hAnsiTheme="minorHAnsi"/>
          <w:szCs w:val="24"/>
        </w:rPr>
      </w:pPr>
      <w:r w:rsidRPr="00732559">
        <w:rPr>
          <w:rFonts w:asciiTheme="minorHAnsi" w:hAnsiTheme="minorHAnsi"/>
          <w:szCs w:val="24"/>
        </w:rPr>
        <w:t>Průběžně byly kontrolovány a odsouhlaseny faktury za servisní služby, opravy výtahů, byly zajišťovány roční prohlídky, revize a opravy společných prostor i opravy nahlášené uživateli, byly odstraňovány závady z provedených revizí. Průběžně jsme vyřizovali požadavky nájemců i vlastníků na opravy v bytech, výměny původních oken za plastová, rekonstrukce bytů a zasklívání lodžií. Chceme však touto cestou upozornit obyvatele na to, aby</w:t>
      </w:r>
      <w:r>
        <w:rPr>
          <w:rFonts w:asciiTheme="minorHAnsi" w:hAnsiTheme="minorHAnsi"/>
          <w:szCs w:val="24"/>
        </w:rPr>
        <w:t xml:space="preserve"> oznamovali výboru záměry rekonstrukce,</w:t>
      </w:r>
      <w:r w:rsidRPr="00732559">
        <w:rPr>
          <w:rFonts w:asciiTheme="minorHAnsi" w:hAnsiTheme="minorHAnsi"/>
          <w:szCs w:val="24"/>
        </w:rPr>
        <w:t xml:space="preserve"> dodržovali oznámený rozsah prací a při rekonstrukcích brali ohled na ostatní a dodržovali Domovní řád.</w:t>
      </w:r>
      <w:r>
        <w:rPr>
          <w:rFonts w:asciiTheme="minorHAnsi" w:hAnsiTheme="minorHAnsi"/>
          <w:szCs w:val="24"/>
        </w:rPr>
        <w:t xml:space="preserve"> </w:t>
      </w:r>
    </w:p>
    <w:p w:rsidR="002D1EB0" w:rsidRPr="00732559" w:rsidRDefault="002D1EB0" w:rsidP="00945CDD">
      <w:pPr>
        <w:pStyle w:val="Zkladntext"/>
        <w:spacing w:after="120"/>
        <w:jc w:val="both"/>
        <w:rPr>
          <w:rFonts w:asciiTheme="minorHAnsi" w:hAnsiTheme="minorHAnsi"/>
          <w:szCs w:val="24"/>
        </w:rPr>
      </w:pPr>
      <w:r w:rsidRPr="00732559">
        <w:rPr>
          <w:rFonts w:asciiTheme="minorHAnsi" w:hAnsiTheme="minorHAnsi"/>
          <w:szCs w:val="24"/>
        </w:rPr>
        <w:t>Mělo by být také samozřejmostí, že nepořádek</w:t>
      </w:r>
      <w:r>
        <w:rPr>
          <w:rFonts w:asciiTheme="minorHAnsi" w:hAnsiTheme="minorHAnsi"/>
          <w:szCs w:val="24"/>
        </w:rPr>
        <w:t xml:space="preserve"> na chodbě od rekonstrukce bytu</w:t>
      </w:r>
      <w:r w:rsidRPr="00732559">
        <w:rPr>
          <w:rFonts w:asciiTheme="minorHAnsi" w:hAnsiTheme="minorHAnsi"/>
          <w:szCs w:val="24"/>
        </w:rPr>
        <w:t xml:space="preserve"> bude</w:t>
      </w:r>
      <w:r>
        <w:rPr>
          <w:rFonts w:asciiTheme="minorHAnsi" w:hAnsiTheme="minorHAnsi"/>
          <w:szCs w:val="24"/>
        </w:rPr>
        <w:t xml:space="preserve"> průběžně</w:t>
      </w:r>
      <w:r w:rsidRPr="00732559">
        <w:rPr>
          <w:rFonts w:asciiTheme="minorHAnsi" w:hAnsiTheme="minorHAnsi"/>
          <w:szCs w:val="24"/>
        </w:rPr>
        <w:t xml:space="preserve"> ukl</w:t>
      </w:r>
      <w:r>
        <w:rPr>
          <w:rFonts w:asciiTheme="minorHAnsi" w:hAnsiTheme="minorHAnsi"/>
          <w:szCs w:val="24"/>
        </w:rPr>
        <w:t>í</w:t>
      </w:r>
      <w:r w:rsidRPr="00732559">
        <w:rPr>
          <w:rFonts w:asciiTheme="minorHAnsi" w:hAnsiTheme="minorHAnsi"/>
          <w:szCs w:val="24"/>
        </w:rPr>
        <w:t>zen, a vyklízené věci nebudou odkládány ke kontejnerům, ale do sběrného dvora popř. do velkoobjemového kontejneru</w:t>
      </w:r>
      <w:r>
        <w:rPr>
          <w:rFonts w:asciiTheme="minorHAnsi" w:hAnsiTheme="minorHAnsi"/>
          <w:szCs w:val="24"/>
        </w:rPr>
        <w:t>, který je</w:t>
      </w:r>
      <w:r w:rsidRPr="00732559">
        <w:rPr>
          <w:rFonts w:asciiTheme="minorHAnsi" w:hAnsiTheme="minorHAnsi"/>
          <w:szCs w:val="24"/>
        </w:rPr>
        <w:t xml:space="preserve"> jednou měsíčně </w:t>
      </w:r>
      <w:r>
        <w:rPr>
          <w:rFonts w:asciiTheme="minorHAnsi" w:hAnsiTheme="minorHAnsi"/>
          <w:szCs w:val="24"/>
        </w:rPr>
        <w:t xml:space="preserve">přistaven </w:t>
      </w:r>
      <w:r w:rsidRPr="00732559">
        <w:rPr>
          <w:rFonts w:asciiTheme="minorHAnsi" w:hAnsiTheme="minorHAnsi"/>
          <w:szCs w:val="24"/>
        </w:rPr>
        <w:t>na parkovišti</w:t>
      </w:r>
      <w:r>
        <w:rPr>
          <w:rFonts w:asciiTheme="minorHAnsi" w:hAnsiTheme="minorHAnsi"/>
          <w:szCs w:val="24"/>
        </w:rPr>
        <w:t xml:space="preserve"> na náklady ÚMČ Praha 8, na což pravidelně upozorňujeme v zápisech</w:t>
      </w:r>
      <w:r w:rsidRPr="00732559">
        <w:rPr>
          <w:rFonts w:asciiTheme="minorHAnsi" w:hAnsiTheme="minorHAnsi"/>
          <w:szCs w:val="24"/>
        </w:rPr>
        <w:t>. Jinak hrozí Společenství dost velká pokuta, která bude přenesena na konkrétní osobu (viz Domovní řád).</w:t>
      </w:r>
    </w:p>
    <w:p w:rsidR="002D1EB0" w:rsidRPr="00732559" w:rsidRDefault="002D1EB0" w:rsidP="00945CDD">
      <w:pPr>
        <w:pStyle w:val="Zkladntext"/>
        <w:spacing w:after="120"/>
        <w:jc w:val="both"/>
        <w:rPr>
          <w:rFonts w:asciiTheme="minorHAnsi" w:hAnsiTheme="minorHAnsi"/>
          <w:szCs w:val="24"/>
        </w:rPr>
      </w:pPr>
      <w:r w:rsidRPr="00732559">
        <w:rPr>
          <w:rFonts w:asciiTheme="minorHAnsi" w:hAnsiTheme="minorHAnsi"/>
          <w:szCs w:val="24"/>
        </w:rPr>
        <w:t>Dále bychom Vás chtěli požádat o včasné dodržování povinnosti vyplývající z §1177 občanského zákoníku – oznámit aktuální počet osob obývajících byt, a jména a adresy nájemníků.</w:t>
      </w:r>
    </w:p>
    <w:p w:rsidR="007D128C" w:rsidRDefault="007D128C" w:rsidP="007D128C">
      <w:pPr>
        <w:pStyle w:val="Zkladntext"/>
        <w:spacing w:after="120"/>
        <w:jc w:val="both"/>
        <w:rPr>
          <w:rFonts w:asciiTheme="minorHAnsi" w:hAnsiTheme="minorHAnsi"/>
          <w:szCs w:val="24"/>
        </w:rPr>
      </w:pPr>
      <w:r>
        <w:rPr>
          <w:rFonts w:asciiTheme="minorHAnsi" w:hAnsiTheme="minorHAnsi"/>
          <w:szCs w:val="24"/>
        </w:rPr>
        <w:t>V neposlední řadě se výbor SVJ</w:t>
      </w:r>
      <w:r w:rsidRPr="00732559">
        <w:rPr>
          <w:rFonts w:asciiTheme="minorHAnsi" w:hAnsiTheme="minorHAnsi"/>
          <w:szCs w:val="24"/>
        </w:rPr>
        <w:t xml:space="preserve"> zabýval přípravou </w:t>
      </w:r>
      <w:r>
        <w:rPr>
          <w:rFonts w:asciiTheme="minorHAnsi" w:hAnsiTheme="minorHAnsi"/>
          <w:szCs w:val="24"/>
        </w:rPr>
        <w:t>20</w:t>
      </w:r>
      <w:r w:rsidRPr="00732559">
        <w:rPr>
          <w:rFonts w:asciiTheme="minorHAnsi" w:hAnsiTheme="minorHAnsi"/>
          <w:szCs w:val="24"/>
        </w:rPr>
        <w:t>. shromáždění, plněním plánu oprav v letošním roce, plánem oprav na příští rok, plněním finančního plánu letošního roku a návrhem finanční rozvahy</w:t>
      </w:r>
      <w:r>
        <w:rPr>
          <w:rFonts w:asciiTheme="minorHAnsi" w:hAnsiTheme="minorHAnsi"/>
          <w:szCs w:val="24"/>
        </w:rPr>
        <w:t>. Výbor konstatuje, že jeho úkoly z usnesení minulého shromáždění byly splněny.</w:t>
      </w:r>
    </w:p>
    <w:p w:rsidR="002D1EB0" w:rsidRPr="00732559" w:rsidRDefault="002D1EB0" w:rsidP="00945CDD">
      <w:pPr>
        <w:pStyle w:val="Zkladntext"/>
        <w:spacing w:after="120"/>
        <w:jc w:val="both"/>
        <w:rPr>
          <w:rFonts w:asciiTheme="minorHAnsi" w:hAnsiTheme="minorHAnsi"/>
          <w:szCs w:val="24"/>
        </w:rPr>
      </w:pPr>
      <w:r w:rsidRPr="00732559">
        <w:rPr>
          <w:rFonts w:asciiTheme="minorHAnsi" w:hAnsiTheme="minorHAnsi"/>
          <w:szCs w:val="24"/>
        </w:rPr>
        <w:t>Během celého období naší činnosti jsme, mimo částky za běžné opravy, museli rozhodovat i o velkých sumách ze společných peněz. Vždy jsme k tomu přistupovali zodpovědně, kolektivně, nespěchali jsme s výběrem a našim měřítkem nebyla vždy jen co nejmenší cena za všech okolností, ale aby naše rozhodnutí splňovalo to, co o něj očekáváme. Dbali jsme i na hospodárnost vynaložených prostředků stálým dohledem nad průběhem jednotlivých akcí. Snažíme se též, aby vynaložené prostředky nebyly znehodnocovány</w:t>
      </w:r>
      <w:r>
        <w:rPr>
          <w:rFonts w:asciiTheme="minorHAnsi" w:hAnsiTheme="minorHAnsi"/>
          <w:szCs w:val="24"/>
        </w:rPr>
        <w:t>.</w:t>
      </w:r>
    </w:p>
    <w:p w:rsidR="002D1EB0" w:rsidRPr="00732559" w:rsidRDefault="002D1EB0" w:rsidP="00945CDD">
      <w:pPr>
        <w:pStyle w:val="Zkladntext"/>
        <w:jc w:val="both"/>
        <w:rPr>
          <w:rFonts w:asciiTheme="minorHAnsi" w:hAnsiTheme="minorHAnsi"/>
          <w:szCs w:val="24"/>
        </w:rPr>
      </w:pPr>
    </w:p>
    <w:p w:rsidR="002D1EB0" w:rsidRPr="00732559" w:rsidRDefault="002D1EB0" w:rsidP="002D1EB0">
      <w:pPr>
        <w:pStyle w:val="Zkladntext"/>
        <w:jc w:val="both"/>
        <w:rPr>
          <w:rFonts w:asciiTheme="minorHAnsi" w:hAnsiTheme="minorHAnsi"/>
          <w:szCs w:val="24"/>
        </w:rPr>
      </w:pPr>
      <w:r w:rsidRPr="00732559">
        <w:rPr>
          <w:rFonts w:asciiTheme="minorHAnsi" w:hAnsiTheme="minorHAnsi"/>
          <w:szCs w:val="24"/>
        </w:rPr>
        <w:t xml:space="preserve">V Praze, dne </w:t>
      </w:r>
      <w:r>
        <w:rPr>
          <w:rFonts w:asciiTheme="minorHAnsi" w:hAnsiTheme="minorHAnsi"/>
          <w:szCs w:val="24"/>
        </w:rPr>
        <w:t>4.11</w:t>
      </w:r>
      <w:r w:rsidRPr="00732559">
        <w:rPr>
          <w:rFonts w:asciiTheme="minorHAnsi" w:hAnsiTheme="minorHAnsi"/>
          <w:szCs w:val="24"/>
        </w:rPr>
        <w:t>.20</w:t>
      </w:r>
      <w:r>
        <w:rPr>
          <w:rFonts w:asciiTheme="minorHAnsi" w:hAnsiTheme="minorHAnsi"/>
          <w:szCs w:val="24"/>
        </w:rPr>
        <w:t>23</w:t>
      </w:r>
    </w:p>
    <w:p w:rsidR="00945CDD" w:rsidRDefault="00945CDD" w:rsidP="00945CDD">
      <w:pPr>
        <w:pStyle w:val="Nzev"/>
        <w:jc w:val="left"/>
        <w:rPr>
          <w:rFonts w:asciiTheme="minorHAnsi" w:eastAsia="Calibri" w:hAnsiTheme="minorHAnsi" w:cstheme="minorHAnsi"/>
          <w:b w:val="0"/>
          <w:bCs w:val="0"/>
          <w:sz w:val="24"/>
        </w:rPr>
      </w:pPr>
    </w:p>
    <w:p w:rsidR="00945CDD" w:rsidRDefault="00945CDD" w:rsidP="00945CDD">
      <w:pPr>
        <w:pStyle w:val="Nzev"/>
        <w:jc w:val="left"/>
        <w:rPr>
          <w:rFonts w:asciiTheme="minorHAnsi" w:eastAsia="Calibri" w:hAnsiTheme="minorHAnsi" w:cstheme="minorHAnsi"/>
          <w:b w:val="0"/>
          <w:bCs w:val="0"/>
          <w:sz w:val="24"/>
        </w:rPr>
      </w:pPr>
    </w:p>
    <w:p w:rsidR="00296A71" w:rsidRDefault="00296A71" w:rsidP="00945CDD">
      <w:pPr>
        <w:pStyle w:val="Nzev"/>
        <w:rPr>
          <w:sz w:val="24"/>
        </w:rPr>
      </w:pPr>
      <w:r>
        <w:t>Zpráva o činnosti kontrolní komise za rok 2022 – 2023</w:t>
      </w:r>
    </w:p>
    <w:p w:rsidR="00296A71" w:rsidRDefault="00296A71" w:rsidP="00296A71">
      <w:pPr>
        <w:pStyle w:val="Nzev"/>
        <w:jc w:val="both"/>
        <w:rPr>
          <w:sz w:val="24"/>
        </w:rPr>
      </w:pPr>
    </w:p>
    <w:p w:rsidR="00296A71" w:rsidRPr="00296A71" w:rsidRDefault="00296A71" w:rsidP="00296A71">
      <w:pPr>
        <w:jc w:val="both"/>
        <w:rPr>
          <w:rFonts w:asciiTheme="minorHAnsi" w:hAnsiTheme="minorHAnsi" w:cstheme="minorHAnsi"/>
          <w:sz w:val="24"/>
          <w:szCs w:val="24"/>
        </w:rPr>
      </w:pPr>
      <w:r w:rsidRPr="00296A71">
        <w:rPr>
          <w:rFonts w:asciiTheme="minorHAnsi" w:hAnsiTheme="minorHAnsi" w:cstheme="minorHAnsi"/>
          <w:sz w:val="24"/>
          <w:szCs w:val="24"/>
        </w:rPr>
        <w:t>Práce výboru SVJ probíhala podle zjištění kontrolní komise (KK) v roce 2023 bez větších problémů a KK neshledala v jeho činnosti žádné vážnější závady. V důsledku neustále se zvyšujících cen jak prací (od projektů až po vyžádané zakázky) tak i potřebného materiálu byl výbor až úzkostlivě ostražitý při výběru prováděcích firem, kde oslovil prakticky vždy nejméně dvě, častěji více firem, z nichž vybral po důkladném rozboru firmu nejvýhodnější jak z hlediska cenového, tak i z hlediska kvality a záruky prováděných prací. KK vždy byla přizvána k těmto jednáním a v průběhu roku kontrolovala i finanční hospodaření objektu, proplácení faktur a důsledně prováděla všech faktur a účetních dokladů týkajících se objektu. V tomto roce KK neobdržela žádné podněty k mimořádné kontrole práce výboru od vlastníků bytů</w:t>
      </w:r>
    </w:p>
    <w:p w:rsidR="00296A71" w:rsidRPr="00296A71" w:rsidRDefault="00296A71" w:rsidP="00296A71">
      <w:pPr>
        <w:jc w:val="both"/>
        <w:rPr>
          <w:rFonts w:asciiTheme="minorHAnsi" w:hAnsiTheme="minorHAnsi" w:cstheme="minorHAnsi"/>
          <w:sz w:val="24"/>
          <w:szCs w:val="24"/>
        </w:rPr>
      </w:pPr>
    </w:p>
    <w:p w:rsidR="00296A71" w:rsidRPr="00296A71" w:rsidRDefault="00296A71" w:rsidP="00296A71">
      <w:pPr>
        <w:jc w:val="both"/>
        <w:rPr>
          <w:rFonts w:asciiTheme="minorHAnsi" w:hAnsiTheme="minorHAnsi" w:cstheme="minorHAnsi"/>
          <w:b/>
          <w:sz w:val="24"/>
          <w:szCs w:val="24"/>
        </w:rPr>
      </w:pPr>
      <w:r w:rsidRPr="00296A71">
        <w:rPr>
          <w:rFonts w:asciiTheme="minorHAnsi" w:hAnsiTheme="minorHAnsi" w:cstheme="minorHAnsi"/>
          <w:b/>
          <w:sz w:val="24"/>
          <w:szCs w:val="24"/>
        </w:rPr>
        <w:t xml:space="preserve">Provozní záležitosti objektu:  </w:t>
      </w:r>
    </w:p>
    <w:p w:rsidR="00296A71" w:rsidRPr="00296A71" w:rsidRDefault="00296A71" w:rsidP="00296A71">
      <w:pPr>
        <w:jc w:val="both"/>
        <w:rPr>
          <w:rFonts w:asciiTheme="minorHAnsi" w:hAnsiTheme="minorHAnsi" w:cstheme="minorHAnsi"/>
          <w:b/>
          <w:sz w:val="24"/>
          <w:szCs w:val="24"/>
        </w:rPr>
      </w:pPr>
      <w:r w:rsidRPr="00296A71">
        <w:rPr>
          <w:rFonts w:asciiTheme="minorHAnsi" w:hAnsiTheme="minorHAnsi" w:cstheme="minorHAnsi"/>
          <w:sz w:val="24"/>
          <w:szCs w:val="24"/>
        </w:rPr>
        <w:t>jako každý rok i v tomto roce došlo ke skluzu některých plánovaných prací a činností, kde vedle nových nutných oprav byly řešeny opravy přesunuté z roku minulého na toto období. Je třeba s povděkem konstatovat, že byl ukončen dlouhotrvající soudní spor s firmou Sulko (pro SVJ výhodný) a mohlo být konečně přistoupeno k výměně vstupních dveří, která byla úspěšně dokončena. KK se zúčastnila důkladné a vyčerpávající práce výboru související s výměnou vstupních portálů, při výběru typu dveří, firmy a provádění výměny, která byla komplikována z řady příčin, ale zejména situací, že náš objekt je vystaven občas silnému západnímu větru který působil v minulosti problémy se zavíráním dveří. Lze očekávat, že tento problém byl aspoň z větší části vyřešen. Dále byla provedena, kromě dalších prací, výměna plynových kohoutů na bytových stoupačkách a regulačního ventilu na topení, nutné výměny vodovodních ventilů v kolektoru včetně oprav ležatého potrubí v kolektoru, výměny hlavních plynových uzávěrů a s tím související stavební úpravy – a řada další prací souvisejících s nutnou údržbou a akutními opravami v objektu. Dále do toho spadají nutné opravy výtahů ať po revizích nebo po vzniklých poruchách.</w:t>
      </w:r>
    </w:p>
    <w:p w:rsidR="00296A71" w:rsidRPr="00296A71" w:rsidRDefault="00296A71" w:rsidP="00296A71">
      <w:pPr>
        <w:rPr>
          <w:rFonts w:asciiTheme="minorHAnsi" w:hAnsiTheme="minorHAnsi" w:cstheme="minorHAnsi"/>
          <w:sz w:val="24"/>
          <w:szCs w:val="24"/>
        </w:rPr>
      </w:pPr>
    </w:p>
    <w:p w:rsidR="00296A71" w:rsidRPr="00296A71" w:rsidRDefault="00296A71" w:rsidP="00296A71">
      <w:pPr>
        <w:rPr>
          <w:rFonts w:asciiTheme="minorHAnsi" w:hAnsiTheme="minorHAnsi" w:cstheme="minorHAnsi"/>
          <w:b/>
          <w:sz w:val="24"/>
          <w:szCs w:val="24"/>
        </w:rPr>
      </w:pPr>
      <w:r w:rsidRPr="00296A71">
        <w:rPr>
          <w:rFonts w:asciiTheme="minorHAnsi" w:hAnsiTheme="minorHAnsi" w:cstheme="minorHAnsi"/>
          <w:b/>
          <w:sz w:val="24"/>
          <w:szCs w:val="24"/>
        </w:rPr>
        <w:t>Kontrola činnosti výboru v ekonomických a finančních záležitostech:</w:t>
      </w: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 xml:space="preserve">kontrola proběhla během měsíců června až září 2023 za období od 1. 1. 2022 – 31. 12. 2022 </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Účet u České spořitelny k 1.1.2022                          </w:t>
      </w:r>
      <w:r w:rsidRPr="00296A71">
        <w:rPr>
          <w:rFonts w:asciiTheme="minorHAnsi" w:hAnsiTheme="minorHAnsi" w:cstheme="minorHAnsi"/>
          <w:b/>
          <w:sz w:val="24"/>
          <w:szCs w:val="24"/>
        </w:rPr>
        <w:t xml:space="preserve">4 935 255,79 Kč </w:t>
      </w:r>
    </w:p>
    <w:p w:rsidR="00296A71" w:rsidRPr="00296A71" w:rsidRDefault="00296A71" w:rsidP="00296A71">
      <w:pPr>
        <w:ind w:left="708" w:firstLine="708"/>
        <w:rPr>
          <w:rFonts w:asciiTheme="minorHAnsi" w:hAnsiTheme="minorHAnsi" w:cstheme="minorHAnsi"/>
          <w:b/>
          <w:sz w:val="24"/>
          <w:szCs w:val="24"/>
        </w:rPr>
      </w:pPr>
      <w:r w:rsidRPr="00296A71">
        <w:rPr>
          <w:rFonts w:asciiTheme="minorHAnsi" w:hAnsiTheme="minorHAnsi" w:cstheme="minorHAnsi"/>
          <w:sz w:val="24"/>
          <w:szCs w:val="24"/>
        </w:rPr>
        <w:t xml:space="preserve">               </w:t>
      </w:r>
      <w:r w:rsidR="002972E5">
        <w:rPr>
          <w:rFonts w:asciiTheme="minorHAnsi" w:hAnsiTheme="minorHAnsi" w:cstheme="minorHAnsi"/>
          <w:sz w:val="24"/>
          <w:szCs w:val="24"/>
        </w:rPr>
        <w:t xml:space="preserve"> </w:t>
      </w:r>
      <w:r w:rsidRPr="00296A71">
        <w:rPr>
          <w:rFonts w:asciiTheme="minorHAnsi" w:hAnsiTheme="minorHAnsi" w:cstheme="minorHAnsi"/>
          <w:sz w:val="24"/>
          <w:szCs w:val="24"/>
        </w:rPr>
        <w:t xml:space="preserve"> k 31.12.2022</w:t>
      </w:r>
      <w:r w:rsidRPr="00296A71">
        <w:rPr>
          <w:rFonts w:asciiTheme="minorHAnsi" w:hAnsiTheme="minorHAnsi" w:cstheme="minorHAnsi"/>
          <w:b/>
          <w:sz w:val="24"/>
          <w:szCs w:val="24"/>
        </w:rPr>
        <w:t xml:space="preserve">                      6 004 868,82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Sporožirový účet u České spořitelny k 1.1.2022        </w:t>
      </w:r>
      <w:r>
        <w:rPr>
          <w:rFonts w:asciiTheme="minorHAnsi" w:hAnsiTheme="minorHAnsi" w:cstheme="minorHAnsi"/>
          <w:sz w:val="24"/>
          <w:szCs w:val="24"/>
        </w:rPr>
        <w:t xml:space="preserve">     </w:t>
      </w:r>
      <w:r w:rsidRPr="00296A71">
        <w:rPr>
          <w:rFonts w:asciiTheme="minorHAnsi" w:hAnsiTheme="minorHAnsi" w:cstheme="minorHAnsi"/>
          <w:sz w:val="24"/>
          <w:szCs w:val="24"/>
        </w:rPr>
        <w:t xml:space="preserve"> </w:t>
      </w:r>
      <w:r>
        <w:rPr>
          <w:rFonts w:asciiTheme="minorHAnsi" w:hAnsiTheme="minorHAnsi" w:cstheme="minorHAnsi"/>
          <w:sz w:val="24"/>
          <w:szCs w:val="24"/>
        </w:rPr>
        <w:t xml:space="preserve"> </w:t>
      </w:r>
      <w:r w:rsidRPr="00296A71">
        <w:rPr>
          <w:rFonts w:asciiTheme="minorHAnsi" w:hAnsiTheme="minorHAnsi" w:cstheme="minorHAnsi"/>
          <w:b/>
          <w:bCs/>
          <w:sz w:val="24"/>
          <w:szCs w:val="24"/>
        </w:rPr>
        <w:t>500,-</w:t>
      </w:r>
      <w:r w:rsidRPr="00296A71">
        <w:rPr>
          <w:rFonts w:asciiTheme="minorHAnsi" w:hAnsiTheme="minorHAnsi" w:cstheme="minorHAnsi"/>
          <w:b/>
          <w:sz w:val="24"/>
          <w:szCs w:val="24"/>
        </w:rPr>
        <w:t xml:space="preserve"> Kč </w:t>
      </w:r>
    </w:p>
    <w:p w:rsidR="00296A71" w:rsidRPr="00296A71" w:rsidRDefault="00296A71" w:rsidP="00296A71">
      <w:pPr>
        <w:ind w:left="708" w:firstLine="708"/>
        <w:rPr>
          <w:rFonts w:asciiTheme="minorHAnsi" w:hAnsiTheme="minorHAnsi" w:cstheme="minorHAnsi"/>
          <w:b/>
          <w:sz w:val="24"/>
          <w:szCs w:val="24"/>
        </w:rPr>
      </w:pPr>
      <w:r w:rsidRPr="00296A71">
        <w:rPr>
          <w:rFonts w:asciiTheme="minorHAnsi" w:hAnsiTheme="minorHAnsi" w:cstheme="minorHAnsi"/>
          <w:sz w:val="24"/>
          <w:szCs w:val="24"/>
        </w:rPr>
        <w:t xml:space="preserve">               </w:t>
      </w:r>
      <w:r w:rsidR="002972E5">
        <w:rPr>
          <w:rFonts w:asciiTheme="minorHAnsi" w:hAnsiTheme="minorHAnsi" w:cstheme="minorHAnsi"/>
          <w:sz w:val="24"/>
          <w:szCs w:val="24"/>
        </w:rPr>
        <w:t xml:space="preserve"> </w:t>
      </w:r>
      <w:r w:rsidRPr="00296A71">
        <w:rPr>
          <w:rFonts w:asciiTheme="minorHAnsi" w:hAnsiTheme="minorHAnsi" w:cstheme="minorHAnsi"/>
          <w:sz w:val="24"/>
          <w:szCs w:val="24"/>
        </w:rPr>
        <w:t xml:space="preserve"> k 31.12.2022</w:t>
      </w:r>
      <w:r w:rsidRPr="00296A71">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296A71">
        <w:rPr>
          <w:rFonts w:asciiTheme="minorHAnsi" w:hAnsiTheme="minorHAnsi" w:cstheme="minorHAnsi"/>
          <w:b/>
          <w:sz w:val="24"/>
          <w:szCs w:val="24"/>
        </w:rPr>
        <w:t>500,- Kč</w:t>
      </w:r>
    </w:p>
    <w:p w:rsidR="00296A71" w:rsidRPr="00296A71" w:rsidRDefault="00296A71" w:rsidP="00296A71">
      <w:pPr>
        <w:pStyle w:val="western"/>
        <w:spacing w:before="0" w:after="0"/>
        <w:ind w:left="2342" w:hanging="2342"/>
        <w:rPr>
          <w:rFonts w:asciiTheme="minorHAnsi" w:hAnsiTheme="minorHAnsi" w:cstheme="minorHAnsi"/>
          <w:b/>
          <w:color w:val="auto"/>
        </w:rPr>
      </w:pPr>
      <w:r w:rsidRPr="00296A71">
        <w:rPr>
          <w:rFonts w:asciiTheme="minorHAnsi" w:hAnsiTheme="minorHAnsi" w:cstheme="minorHAnsi"/>
          <w:color w:val="auto"/>
        </w:rPr>
        <w:t xml:space="preserve">Pokladna: </w:t>
      </w:r>
      <w:r w:rsidRPr="00296A71">
        <w:rPr>
          <w:rFonts w:asciiTheme="minorHAnsi" w:hAnsiTheme="minorHAnsi" w:cstheme="minorHAnsi"/>
          <w:color w:val="auto"/>
        </w:rPr>
        <w:tab/>
        <w:t>k 1. 1. 2022</w:t>
      </w:r>
      <w:r w:rsidRPr="00296A71">
        <w:rPr>
          <w:rFonts w:asciiTheme="minorHAnsi" w:hAnsiTheme="minorHAnsi" w:cstheme="minorHAnsi"/>
          <w:color w:val="auto"/>
        </w:rPr>
        <w:tab/>
      </w:r>
      <w:r w:rsidRPr="00296A71">
        <w:rPr>
          <w:rFonts w:asciiTheme="minorHAnsi" w:hAnsiTheme="minorHAnsi" w:cstheme="minorHAnsi"/>
          <w:color w:val="auto"/>
        </w:rPr>
        <w:tab/>
        <w:t xml:space="preserve">           </w:t>
      </w:r>
      <w:r>
        <w:rPr>
          <w:rFonts w:asciiTheme="minorHAnsi" w:hAnsiTheme="minorHAnsi" w:cstheme="minorHAnsi"/>
          <w:color w:val="auto"/>
        </w:rPr>
        <w:t xml:space="preserve">    </w:t>
      </w:r>
      <w:r w:rsidR="002972E5">
        <w:rPr>
          <w:rFonts w:asciiTheme="minorHAnsi" w:hAnsiTheme="minorHAnsi" w:cstheme="minorHAnsi"/>
          <w:color w:val="auto"/>
        </w:rPr>
        <w:t xml:space="preserve"> </w:t>
      </w:r>
      <w:r>
        <w:rPr>
          <w:rFonts w:asciiTheme="minorHAnsi" w:hAnsiTheme="minorHAnsi" w:cstheme="minorHAnsi"/>
          <w:color w:val="auto"/>
        </w:rPr>
        <w:t xml:space="preserve"> </w:t>
      </w:r>
      <w:r w:rsidRPr="00296A71">
        <w:rPr>
          <w:rFonts w:asciiTheme="minorHAnsi" w:hAnsiTheme="minorHAnsi" w:cstheme="minorHAnsi"/>
          <w:b/>
          <w:color w:val="auto"/>
        </w:rPr>
        <w:t xml:space="preserve">9 508,- Kč </w:t>
      </w:r>
    </w:p>
    <w:p w:rsidR="00296A71" w:rsidRPr="00296A71" w:rsidRDefault="00296A71" w:rsidP="00296A71">
      <w:pPr>
        <w:pStyle w:val="western"/>
        <w:spacing w:before="0" w:after="0"/>
        <w:ind w:left="1634" w:firstLine="708"/>
        <w:rPr>
          <w:rFonts w:asciiTheme="minorHAnsi" w:hAnsiTheme="minorHAnsi" w:cstheme="minorHAnsi"/>
        </w:rPr>
      </w:pPr>
      <w:r w:rsidRPr="00296A71">
        <w:rPr>
          <w:rFonts w:asciiTheme="minorHAnsi" w:hAnsiTheme="minorHAnsi" w:cstheme="minorHAnsi"/>
          <w:color w:val="auto"/>
        </w:rPr>
        <w:t xml:space="preserve">k 31. 12. 2022       </w:t>
      </w:r>
      <w:r w:rsidRPr="00296A71">
        <w:rPr>
          <w:rFonts w:asciiTheme="minorHAnsi" w:hAnsiTheme="minorHAnsi" w:cstheme="minorHAnsi"/>
          <w:b/>
          <w:color w:val="auto"/>
        </w:rPr>
        <w:t xml:space="preserve">            </w:t>
      </w:r>
      <w:r w:rsidRPr="00296A71">
        <w:rPr>
          <w:rFonts w:asciiTheme="minorHAnsi" w:hAnsiTheme="minorHAnsi" w:cstheme="minorHAnsi"/>
          <w:b/>
          <w:color w:val="auto"/>
        </w:rPr>
        <w:tab/>
        <w:t xml:space="preserve">  </w:t>
      </w:r>
      <w:r>
        <w:rPr>
          <w:rFonts w:asciiTheme="minorHAnsi" w:hAnsiTheme="minorHAnsi" w:cstheme="minorHAnsi"/>
          <w:b/>
          <w:color w:val="auto"/>
        </w:rPr>
        <w:t xml:space="preserve">    </w:t>
      </w:r>
      <w:r w:rsidR="002972E5">
        <w:rPr>
          <w:rFonts w:asciiTheme="minorHAnsi" w:hAnsiTheme="minorHAnsi" w:cstheme="minorHAnsi"/>
          <w:b/>
          <w:color w:val="auto"/>
        </w:rPr>
        <w:t xml:space="preserve"> </w:t>
      </w:r>
      <w:r w:rsidRPr="00296A71">
        <w:rPr>
          <w:rFonts w:asciiTheme="minorHAnsi" w:hAnsiTheme="minorHAnsi" w:cstheme="minorHAnsi"/>
          <w:b/>
          <w:color w:val="auto"/>
        </w:rPr>
        <w:t>365,- Kč</w:t>
      </w:r>
    </w:p>
    <w:p w:rsidR="00296A71" w:rsidRPr="002972E5" w:rsidRDefault="00296A71" w:rsidP="00296A71">
      <w:pPr>
        <w:pStyle w:val="western"/>
        <w:spacing w:before="0" w:after="0"/>
        <w:rPr>
          <w:rFonts w:asciiTheme="minorHAnsi" w:hAnsiTheme="minorHAnsi" w:cstheme="minorHAnsi"/>
          <w:b/>
        </w:rPr>
      </w:pPr>
      <w:r w:rsidRPr="00296A71">
        <w:rPr>
          <w:rFonts w:asciiTheme="minorHAnsi" w:hAnsiTheme="minorHAnsi" w:cstheme="minorHAnsi"/>
          <w:b/>
          <w:bCs/>
        </w:rPr>
        <w:t>Fond oprav</w:t>
      </w:r>
      <w:r w:rsidRPr="00296A71">
        <w:rPr>
          <w:rFonts w:asciiTheme="minorHAnsi" w:hAnsiTheme="minorHAnsi" w:cstheme="minorHAnsi"/>
        </w:rPr>
        <w:t xml:space="preserve"> bude v roce 2023 navýšen o částku (převod z roku 2022):</w:t>
      </w:r>
      <w:r w:rsidRPr="00296A71">
        <w:rPr>
          <w:rFonts w:asciiTheme="minorHAnsi" w:hAnsiTheme="minorHAnsi" w:cstheme="minorHAnsi"/>
        </w:rPr>
        <w:tab/>
      </w:r>
      <w:r w:rsidRPr="002972E5">
        <w:rPr>
          <w:rFonts w:asciiTheme="minorHAnsi" w:hAnsiTheme="minorHAnsi" w:cstheme="minorHAnsi"/>
          <w:b/>
        </w:rPr>
        <w:t>4 406 176,64 Kč</w:t>
      </w:r>
    </w:p>
    <w:p w:rsidR="00296A71" w:rsidRPr="00296A71" w:rsidRDefault="00296A71" w:rsidP="00296A71">
      <w:pPr>
        <w:pStyle w:val="western"/>
        <w:spacing w:before="0" w:after="0"/>
        <w:ind w:left="6662"/>
        <w:rPr>
          <w:rFonts w:asciiTheme="minorHAnsi" w:hAnsiTheme="minorHAnsi" w:cstheme="minorHAnsi"/>
        </w:rPr>
      </w:pPr>
    </w:p>
    <w:p w:rsidR="00296A71" w:rsidRPr="00296A71" w:rsidRDefault="00296A71" w:rsidP="00296A71">
      <w:pPr>
        <w:pStyle w:val="western"/>
        <w:spacing w:before="0" w:after="0"/>
        <w:rPr>
          <w:rFonts w:asciiTheme="minorHAnsi" w:hAnsiTheme="minorHAnsi" w:cstheme="minorHAnsi"/>
        </w:rPr>
      </w:pPr>
      <w:r w:rsidRPr="00296A71">
        <w:rPr>
          <w:rFonts w:asciiTheme="minorHAnsi" w:hAnsiTheme="minorHAnsi" w:cstheme="minorHAnsi"/>
          <w:b/>
          <w:bCs/>
        </w:rPr>
        <w:t>Vyúčtování uživatelům za rok 2022:</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Uč. 324.10          T</w:t>
      </w:r>
      <w:r>
        <w:rPr>
          <w:rFonts w:asciiTheme="minorHAnsi" w:hAnsiTheme="minorHAnsi" w:cstheme="minorHAnsi"/>
          <w:sz w:val="24"/>
          <w:szCs w:val="24"/>
        </w:rPr>
        <w:t>eplo</w:t>
      </w:r>
      <w:r>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7</w:t>
      </w:r>
      <w:r w:rsidRPr="00296A71">
        <w:rPr>
          <w:rFonts w:asciiTheme="minorHAnsi" w:hAnsiTheme="minorHAnsi" w:cstheme="minorHAnsi"/>
          <w:sz w:val="24"/>
          <w:szCs w:val="24"/>
        </w:rPr>
        <w:t>4 028,23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324.11 a 12 </w:t>
      </w:r>
      <w:r w:rsidRPr="00296A71">
        <w:rPr>
          <w:rFonts w:asciiTheme="minorHAnsi" w:hAnsiTheme="minorHAnsi" w:cstheme="minorHAnsi"/>
          <w:sz w:val="24"/>
          <w:szCs w:val="24"/>
        </w:rPr>
        <w:tab/>
        <w:t xml:space="preserve">TV a SV do teplé </w:t>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296A71">
        <w:rPr>
          <w:rFonts w:asciiTheme="minorHAnsi" w:hAnsiTheme="minorHAnsi" w:cstheme="minorHAnsi"/>
          <w:sz w:val="24"/>
          <w:szCs w:val="24"/>
        </w:rPr>
        <w:t>126 130,62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324.13           SV</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296A71">
        <w:rPr>
          <w:rFonts w:asciiTheme="minorHAnsi" w:hAnsiTheme="minorHAnsi" w:cstheme="minorHAnsi"/>
          <w:sz w:val="24"/>
          <w:szCs w:val="24"/>
        </w:rPr>
        <w:t xml:space="preserve"> 193 300,00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324.14           Úklid </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73 767,00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324.15           PRE</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12 232,12 Kč</w:t>
      </w:r>
    </w:p>
    <w:p w:rsidR="00296A71" w:rsidRPr="00296A71" w:rsidRDefault="00296A71" w:rsidP="00296A71">
      <w:pPr>
        <w:pStyle w:val="western"/>
        <w:spacing w:before="0" w:after="0"/>
        <w:rPr>
          <w:rFonts w:asciiTheme="minorHAnsi" w:hAnsiTheme="minorHAnsi" w:cstheme="minorHAnsi"/>
        </w:rPr>
      </w:pPr>
      <w:r w:rsidRPr="00296A71">
        <w:rPr>
          <w:rFonts w:asciiTheme="minorHAnsi" w:hAnsiTheme="minorHAnsi" w:cstheme="minorHAnsi"/>
        </w:rPr>
        <w:t xml:space="preserve">    324.16           Odpadky </w:t>
      </w:r>
      <w:r w:rsidRPr="00296A71">
        <w:rPr>
          <w:rFonts w:asciiTheme="minorHAnsi" w:hAnsiTheme="minorHAnsi" w:cstheme="minorHAnsi"/>
        </w:rPr>
        <w:tab/>
      </w:r>
      <w:r w:rsidRPr="00296A71">
        <w:rPr>
          <w:rFonts w:asciiTheme="minorHAnsi" w:hAnsiTheme="minorHAnsi" w:cstheme="minorHAnsi"/>
        </w:rPr>
        <w:tab/>
      </w:r>
      <w:r w:rsidRPr="00296A71">
        <w:rPr>
          <w:rFonts w:asciiTheme="minorHAnsi" w:hAnsiTheme="minorHAnsi" w:cstheme="minorHAnsi"/>
        </w:rPr>
        <w:tab/>
        <w:t xml:space="preserve">            </w:t>
      </w:r>
      <w:r>
        <w:rPr>
          <w:rFonts w:asciiTheme="minorHAnsi" w:hAnsiTheme="minorHAnsi" w:cstheme="minorHAnsi"/>
        </w:rPr>
        <w:t xml:space="preserve">           </w:t>
      </w:r>
      <w:r w:rsidR="009E3B79">
        <w:rPr>
          <w:rFonts w:asciiTheme="minorHAnsi" w:hAnsiTheme="minorHAnsi" w:cstheme="minorHAnsi"/>
        </w:rPr>
        <w:t xml:space="preserve"> </w:t>
      </w:r>
      <w:r w:rsidRPr="00296A71">
        <w:rPr>
          <w:rFonts w:asciiTheme="minorHAnsi" w:hAnsiTheme="minorHAnsi" w:cstheme="minorHAnsi"/>
        </w:rPr>
        <w:t xml:space="preserve"> -109 782,00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324.17           </w:t>
      </w:r>
      <w:r>
        <w:rPr>
          <w:rFonts w:asciiTheme="minorHAnsi" w:hAnsiTheme="minorHAnsi" w:cstheme="minorHAnsi"/>
          <w:sz w:val="24"/>
          <w:szCs w:val="24"/>
        </w:rPr>
        <w:t>Ostatní služby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 xml:space="preserve"> -1 779,51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324.18           Odměna členů SV </w:t>
      </w:r>
      <w:r w:rsidR="009E3B79">
        <w:rPr>
          <w:rFonts w:asciiTheme="minorHAnsi" w:hAnsiTheme="minorHAnsi" w:cstheme="minorHAnsi"/>
          <w:sz w:val="24"/>
          <w:szCs w:val="24"/>
        </w:rPr>
        <w:t xml:space="preserve">(vč.soc. a zdr. poj.)               </w:t>
      </w:r>
      <w:r w:rsidRPr="00296A71">
        <w:rPr>
          <w:rFonts w:asciiTheme="minorHAnsi" w:hAnsiTheme="minorHAnsi" w:cstheme="minorHAnsi"/>
          <w:sz w:val="24"/>
          <w:szCs w:val="24"/>
        </w:rPr>
        <w:t>2 502,00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324.19 </w:t>
      </w:r>
      <w:r w:rsidRPr="00296A71">
        <w:rPr>
          <w:rFonts w:asciiTheme="minorHAnsi" w:hAnsiTheme="minorHAnsi" w:cstheme="minorHAnsi"/>
          <w:sz w:val="24"/>
          <w:szCs w:val="24"/>
        </w:rPr>
        <w:tab/>
        <w:t xml:space="preserve"> Odměna správci </w:t>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8 304,00 Kč</w:t>
      </w:r>
    </w:p>
    <w:p w:rsidR="00296A71" w:rsidRPr="002972E5" w:rsidRDefault="00296A71" w:rsidP="002972E5">
      <w:pPr>
        <w:pStyle w:val="western"/>
        <w:suppressAutoHyphens w:val="0"/>
        <w:spacing w:before="0" w:after="0"/>
        <w:rPr>
          <w:rFonts w:asciiTheme="minorHAnsi" w:hAnsiTheme="minorHAnsi" w:cstheme="minorHAnsi"/>
          <w:lang w:eastAsia="cs-CZ"/>
        </w:rPr>
      </w:pPr>
      <w:r w:rsidRPr="002972E5">
        <w:rPr>
          <w:rFonts w:asciiTheme="minorHAnsi" w:hAnsiTheme="minorHAnsi" w:cstheme="minorHAnsi"/>
          <w:lang w:eastAsia="cs-CZ"/>
        </w:rPr>
        <w:t xml:space="preserve">    324.20 </w:t>
      </w:r>
      <w:r w:rsidRPr="002972E5">
        <w:rPr>
          <w:rFonts w:asciiTheme="minorHAnsi" w:hAnsiTheme="minorHAnsi" w:cstheme="minorHAnsi"/>
          <w:lang w:eastAsia="cs-CZ"/>
        </w:rPr>
        <w:tab/>
        <w:t xml:space="preserve"> Pojištění                                                                </w:t>
      </w:r>
      <w:r w:rsidR="009E3B79">
        <w:rPr>
          <w:rFonts w:asciiTheme="minorHAnsi" w:hAnsiTheme="minorHAnsi" w:cstheme="minorHAnsi"/>
          <w:lang w:eastAsia="cs-CZ"/>
        </w:rPr>
        <w:t xml:space="preserve">  </w:t>
      </w:r>
      <w:r w:rsidRPr="002972E5">
        <w:rPr>
          <w:rFonts w:asciiTheme="minorHAnsi" w:hAnsiTheme="minorHAnsi" w:cstheme="minorHAnsi"/>
          <w:lang w:eastAsia="cs-CZ"/>
        </w:rPr>
        <w:t>7 805,00 Kč</w:t>
      </w:r>
    </w:p>
    <w:p w:rsidR="00296A71" w:rsidRPr="00296A71" w:rsidRDefault="00296A71" w:rsidP="00296A71">
      <w:pPr>
        <w:rPr>
          <w:rFonts w:asciiTheme="minorHAnsi" w:hAnsiTheme="minorHAnsi" w:cstheme="minorHAnsi"/>
          <w:sz w:val="24"/>
          <w:szCs w:val="24"/>
        </w:rPr>
      </w:pPr>
      <w:r>
        <w:rPr>
          <w:rFonts w:asciiTheme="minorHAnsi" w:hAnsiTheme="minorHAnsi" w:cstheme="minorHAnsi"/>
          <w:sz w:val="24"/>
          <w:szCs w:val="24"/>
        </w:rPr>
        <w:t xml:space="preserve">    324.21          </w:t>
      </w:r>
      <w:r w:rsidRPr="00296A71">
        <w:rPr>
          <w:rFonts w:asciiTheme="minorHAnsi" w:hAnsiTheme="minorHAnsi" w:cstheme="minorHAnsi"/>
          <w:sz w:val="24"/>
          <w:szCs w:val="24"/>
        </w:rPr>
        <w:t xml:space="preserve"> Kolektory </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783,50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324.22 </w:t>
      </w:r>
      <w:r w:rsidRPr="00296A71">
        <w:rPr>
          <w:rFonts w:asciiTheme="minorHAnsi" w:hAnsiTheme="minorHAnsi" w:cstheme="minorHAnsi"/>
          <w:sz w:val="24"/>
          <w:szCs w:val="24"/>
        </w:rPr>
        <w:tab/>
        <w:t xml:space="preserve"> Mzdy OON </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-13 466,00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324.23 </w:t>
      </w:r>
      <w:r w:rsidRPr="00296A71">
        <w:rPr>
          <w:rFonts w:asciiTheme="minorHAnsi" w:hAnsiTheme="minorHAnsi" w:cstheme="minorHAnsi"/>
          <w:sz w:val="24"/>
          <w:szCs w:val="24"/>
        </w:rPr>
        <w:tab/>
        <w:t xml:space="preserve"> Výtahy </w:t>
      </w:r>
      <w:r w:rsidRPr="00296A71">
        <w:rPr>
          <w:rFonts w:asciiTheme="minorHAnsi" w:hAnsiTheme="minorHAnsi" w:cstheme="minorHAnsi"/>
          <w:sz w:val="24"/>
          <w:szCs w:val="24"/>
        </w:rPr>
        <w:tab/>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27 665,01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324.24 </w:t>
      </w:r>
      <w:r w:rsidRPr="00296A71">
        <w:rPr>
          <w:rFonts w:asciiTheme="minorHAnsi" w:hAnsiTheme="minorHAnsi" w:cstheme="minorHAnsi"/>
          <w:sz w:val="24"/>
          <w:szCs w:val="24"/>
        </w:rPr>
        <w:tab/>
        <w:t xml:space="preserve"> Provozní náklady </w:t>
      </w:r>
      <w:r w:rsidRPr="00296A71">
        <w:rPr>
          <w:rFonts w:asciiTheme="minorHAnsi" w:hAnsiTheme="minorHAnsi" w:cstheme="minorHAnsi"/>
          <w:sz w:val="24"/>
          <w:szCs w:val="24"/>
        </w:rPr>
        <w:tab/>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296A71">
        <w:rPr>
          <w:rFonts w:asciiTheme="minorHAnsi" w:hAnsiTheme="minorHAnsi" w:cstheme="minorHAnsi"/>
          <w:sz w:val="24"/>
          <w:szCs w:val="24"/>
        </w:rPr>
        <w:t xml:space="preserve"> -1 210,06 Kč </w:t>
      </w:r>
    </w:p>
    <w:p w:rsidR="00296A71" w:rsidRPr="00296A71" w:rsidRDefault="00296A71" w:rsidP="00296A71">
      <w:pPr>
        <w:pStyle w:val="western"/>
        <w:spacing w:before="0" w:after="0"/>
        <w:ind w:left="2160" w:hanging="2160"/>
        <w:rPr>
          <w:rFonts w:asciiTheme="minorHAnsi" w:hAnsiTheme="minorHAnsi" w:cstheme="minorHAnsi"/>
        </w:rPr>
      </w:pPr>
      <w:r>
        <w:rPr>
          <w:rFonts w:asciiTheme="minorHAnsi" w:hAnsiTheme="minorHAnsi" w:cstheme="minorHAnsi"/>
        </w:rPr>
        <w:lastRenderedPageBreak/>
        <w:t xml:space="preserve">    324.25           </w:t>
      </w:r>
      <w:r w:rsidRPr="00296A71">
        <w:rPr>
          <w:rFonts w:asciiTheme="minorHAnsi" w:hAnsiTheme="minorHAnsi" w:cstheme="minorHAnsi"/>
        </w:rPr>
        <w:t>Přísp.</w:t>
      </w:r>
      <w:r>
        <w:rPr>
          <w:rFonts w:asciiTheme="minorHAnsi" w:hAnsiTheme="minorHAnsi" w:cstheme="minorHAnsi"/>
        </w:rPr>
        <w:t xml:space="preserve"> </w:t>
      </w:r>
      <w:r w:rsidRPr="00296A71">
        <w:rPr>
          <w:rFonts w:asciiTheme="minorHAnsi" w:hAnsiTheme="minorHAnsi" w:cstheme="minorHAnsi"/>
        </w:rPr>
        <w:t xml:space="preserve">SMBD            </w:t>
      </w:r>
      <w:r w:rsidRPr="00296A71">
        <w:rPr>
          <w:rFonts w:asciiTheme="minorHAnsi" w:hAnsiTheme="minorHAnsi" w:cstheme="minorHAnsi"/>
        </w:rPr>
        <w:tab/>
        <w:t xml:space="preserve">                    </w:t>
      </w:r>
      <w:r w:rsidRPr="00296A71">
        <w:rPr>
          <w:rFonts w:asciiTheme="minorHAnsi" w:hAnsiTheme="minorHAnsi" w:cstheme="minorHAnsi"/>
        </w:rPr>
        <w:tab/>
        <w:t xml:space="preserve">       </w:t>
      </w:r>
      <w:r>
        <w:rPr>
          <w:rFonts w:asciiTheme="minorHAnsi" w:hAnsiTheme="minorHAnsi" w:cstheme="minorHAnsi"/>
        </w:rPr>
        <w:t xml:space="preserve">         </w:t>
      </w:r>
      <w:r w:rsidRPr="00296A71">
        <w:rPr>
          <w:rFonts w:asciiTheme="minorHAnsi" w:hAnsiTheme="minorHAnsi" w:cstheme="minorHAnsi"/>
        </w:rPr>
        <w:t>-480,00 Kč</w:t>
      </w:r>
    </w:p>
    <w:p w:rsidR="00296A71" w:rsidRPr="00296A71" w:rsidRDefault="002972E5" w:rsidP="00296A71">
      <w:pPr>
        <w:rPr>
          <w:rFonts w:asciiTheme="minorHAnsi" w:hAnsiTheme="minorHAnsi" w:cstheme="minorHAnsi"/>
          <w:sz w:val="24"/>
          <w:szCs w:val="24"/>
        </w:rPr>
      </w:pPr>
      <w:r>
        <w:rPr>
          <w:rFonts w:asciiTheme="minorHAnsi" w:hAnsiTheme="minorHAnsi" w:cstheme="minorHAnsi"/>
          <w:sz w:val="24"/>
          <w:szCs w:val="24"/>
        </w:rPr>
        <w:t xml:space="preserve">    324.26           </w:t>
      </w:r>
      <w:r w:rsidR="00296A71" w:rsidRPr="00296A71">
        <w:rPr>
          <w:rFonts w:asciiTheme="minorHAnsi" w:hAnsiTheme="minorHAnsi" w:cstheme="minorHAnsi"/>
          <w:sz w:val="24"/>
          <w:szCs w:val="24"/>
        </w:rPr>
        <w:t>rezervní fond</w:t>
      </w:r>
      <w:r w:rsidR="00296A71" w:rsidRPr="00296A71">
        <w:rPr>
          <w:rFonts w:asciiTheme="minorHAnsi" w:hAnsiTheme="minorHAnsi" w:cstheme="minorHAnsi"/>
          <w:sz w:val="24"/>
          <w:szCs w:val="24"/>
        </w:rPr>
        <w:tab/>
      </w:r>
      <w:r w:rsidR="00296A71"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00296A71" w:rsidRPr="00296A71">
        <w:rPr>
          <w:rFonts w:asciiTheme="minorHAnsi" w:hAnsiTheme="minorHAnsi" w:cstheme="minorHAnsi"/>
          <w:sz w:val="24"/>
          <w:szCs w:val="24"/>
        </w:rPr>
        <w:t>0,00 Kč</w:t>
      </w:r>
    </w:p>
    <w:p w:rsidR="00296A71" w:rsidRPr="00296A71" w:rsidRDefault="00296A71" w:rsidP="00296A71">
      <w:pPr>
        <w:rPr>
          <w:rFonts w:asciiTheme="minorHAnsi" w:hAnsiTheme="minorHAnsi" w:cstheme="minorHAnsi"/>
          <w:sz w:val="24"/>
          <w:szCs w:val="24"/>
        </w:rPr>
      </w:pPr>
    </w:p>
    <w:p w:rsidR="00296A71" w:rsidRPr="00296A71" w:rsidRDefault="00296A71" w:rsidP="00296A71">
      <w:pPr>
        <w:rPr>
          <w:rFonts w:asciiTheme="minorHAnsi" w:hAnsiTheme="minorHAnsi" w:cstheme="minorHAnsi"/>
          <w:b/>
          <w:sz w:val="24"/>
          <w:szCs w:val="24"/>
        </w:rPr>
      </w:pPr>
      <w:bookmarkStart w:id="1" w:name="OLE_LINK1"/>
      <w:r w:rsidRPr="00296A71">
        <w:rPr>
          <w:rFonts w:asciiTheme="minorHAnsi" w:hAnsiTheme="minorHAnsi" w:cstheme="minorHAnsi"/>
          <w:sz w:val="24"/>
          <w:szCs w:val="24"/>
        </w:rPr>
        <w:t xml:space="preserve">                           </w:t>
      </w:r>
      <w:r w:rsidRPr="00296A71">
        <w:rPr>
          <w:rFonts w:asciiTheme="minorHAnsi" w:hAnsiTheme="minorHAnsi" w:cstheme="minorHAnsi"/>
          <w:b/>
          <w:sz w:val="24"/>
          <w:szCs w:val="24"/>
        </w:rPr>
        <w:t xml:space="preserve">Celkem                                                    </w:t>
      </w:r>
      <w:r w:rsidR="002972E5">
        <w:rPr>
          <w:rFonts w:asciiTheme="minorHAnsi" w:hAnsiTheme="minorHAnsi" w:cstheme="minorHAnsi"/>
          <w:b/>
          <w:sz w:val="24"/>
          <w:szCs w:val="24"/>
        </w:rPr>
        <w:t xml:space="preserve">         </w:t>
      </w:r>
      <w:r w:rsidRPr="00296A71">
        <w:rPr>
          <w:rFonts w:asciiTheme="minorHAnsi" w:hAnsiTheme="minorHAnsi" w:cstheme="minorHAnsi"/>
          <w:b/>
          <w:sz w:val="24"/>
          <w:szCs w:val="24"/>
        </w:rPr>
        <w:t>398 232,91 Kč</w:t>
      </w:r>
    </w:p>
    <w:p w:rsidR="00296A71" w:rsidRPr="00296A71" w:rsidRDefault="00296A71" w:rsidP="00296A71">
      <w:pPr>
        <w:rPr>
          <w:rFonts w:asciiTheme="minorHAnsi" w:hAnsiTheme="minorHAnsi" w:cstheme="minorHAnsi"/>
          <w:b/>
          <w:sz w:val="24"/>
          <w:szCs w:val="24"/>
        </w:rPr>
      </w:pP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Dále se převádí do vyúčtování služeb:</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Korekce tvorby FO                                        </w:t>
      </w:r>
      <w:r w:rsidR="002972E5">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7 200,00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Výnosy NP za rok 2022                            </w:t>
      </w:r>
      <w:r w:rsidR="002972E5">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328 322,00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Zaokrouhlení služeb                                          </w:t>
      </w:r>
      <w:r>
        <w:rPr>
          <w:rFonts w:asciiTheme="minorHAnsi" w:hAnsiTheme="minorHAnsi" w:cstheme="minorHAnsi"/>
          <w:sz w:val="24"/>
          <w:szCs w:val="24"/>
        </w:rPr>
        <w:t xml:space="preserve">         </w:t>
      </w:r>
      <w:r w:rsidR="009E3B79">
        <w:rPr>
          <w:rFonts w:asciiTheme="minorHAnsi" w:hAnsiTheme="minorHAnsi" w:cstheme="minorHAnsi"/>
          <w:sz w:val="24"/>
          <w:szCs w:val="24"/>
        </w:rPr>
        <w:t xml:space="preserve"> </w:t>
      </w:r>
      <w:r w:rsidRPr="00296A71">
        <w:rPr>
          <w:rFonts w:asciiTheme="minorHAnsi" w:hAnsiTheme="minorHAnsi" w:cstheme="minorHAnsi"/>
          <w:sz w:val="24"/>
          <w:szCs w:val="24"/>
        </w:rPr>
        <w:t>19,09 Kč</w:t>
      </w:r>
    </w:p>
    <w:p w:rsidR="00296A71" w:rsidRPr="00296A71" w:rsidRDefault="00296A71" w:rsidP="00296A71">
      <w:pPr>
        <w:rPr>
          <w:rFonts w:asciiTheme="minorHAnsi" w:hAnsiTheme="minorHAnsi" w:cstheme="minorHAnsi"/>
          <w:sz w:val="24"/>
          <w:szCs w:val="24"/>
        </w:rPr>
      </w:pPr>
      <w:r w:rsidRPr="00296A71">
        <w:rPr>
          <w:rFonts w:asciiTheme="minorHAnsi" w:hAnsiTheme="minorHAnsi" w:cstheme="minorHAnsi"/>
          <w:sz w:val="24"/>
          <w:szCs w:val="24"/>
        </w:rPr>
        <w:t xml:space="preserve">                          Reservní fond                                           </w:t>
      </w:r>
      <w:r>
        <w:rPr>
          <w:rFonts w:asciiTheme="minorHAnsi" w:hAnsiTheme="minorHAnsi" w:cstheme="minorHAnsi"/>
          <w:sz w:val="24"/>
          <w:szCs w:val="24"/>
        </w:rPr>
        <w:t xml:space="preserve">          </w:t>
      </w:r>
      <w:r w:rsidRPr="00296A71">
        <w:rPr>
          <w:rFonts w:asciiTheme="minorHAnsi" w:hAnsiTheme="minorHAnsi" w:cstheme="minorHAnsi"/>
          <w:sz w:val="24"/>
          <w:szCs w:val="24"/>
        </w:rPr>
        <w:t>100 332,00 Kč</w:t>
      </w:r>
    </w:p>
    <w:p w:rsidR="00296A71" w:rsidRPr="00296A71" w:rsidRDefault="00296A71" w:rsidP="00296A71">
      <w:pPr>
        <w:ind w:left="708" w:firstLine="708"/>
        <w:rPr>
          <w:rFonts w:asciiTheme="minorHAnsi" w:hAnsiTheme="minorHAnsi" w:cstheme="minorHAnsi"/>
          <w:sz w:val="24"/>
          <w:szCs w:val="24"/>
        </w:rPr>
      </w:pPr>
      <w:r w:rsidRPr="00296A71">
        <w:rPr>
          <w:rFonts w:asciiTheme="minorHAnsi" w:hAnsiTheme="minorHAnsi" w:cstheme="minorHAnsi"/>
          <w:sz w:val="24"/>
          <w:szCs w:val="24"/>
        </w:rPr>
        <w:t xml:space="preserve"> Přeplatky nájemníci</w:t>
      </w:r>
      <w:r w:rsidRPr="00296A71">
        <w:rPr>
          <w:rFonts w:asciiTheme="minorHAnsi" w:hAnsiTheme="minorHAnsi" w:cstheme="minorHAnsi"/>
          <w:sz w:val="24"/>
          <w:szCs w:val="24"/>
        </w:rPr>
        <w:tab/>
        <w:t xml:space="preserve">                              </w:t>
      </w:r>
      <w:r>
        <w:rPr>
          <w:rFonts w:asciiTheme="minorHAnsi" w:hAnsiTheme="minorHAnsi" w:cstheme="minorHAnsi"/>
          <w:sz w:val="24"/>
          <w:szCs w:val="24"/>
        </w:rPr>
        <w:t xml:space="preserve">          </w:t>
      </w:r>
      <w:r w:rsidRPr="00296A71">
        <w:rPr>
          <w:rFonts w:asciiTheme="minorHAnsi" w:hAnsiTheme="minorHAnsi" w:cstheme="minorHAnsi"/>
          <w:sz w:val="24"/>
          <w:szCs w:val="24"/>
        </w:rPr>
        <w:t>12 363,00 Kč</w:t>
      </w:r>
    </w:p>
    <w:bookmarkEnd w:id="1"/>
    <w:p w:rsidR="00296A71" w:rsidRPr="00296A71" w:rsidRDefault="00296A71" w:rsidP="00296A71">
      <w:pPr>
        <w:spacing w:before="240"/>
        <w:rPr>
          <w:rFonts w:asciiTheme="minorHAnsi" w:hAnsiTheme="minorHAnsi" w:cstheme="minorHAnsi"/>
          <w:b/>
          <w:sz w:val="24"/>
          <w:szCs w:val="24"/>
        </w:rPr>
      </w:pPr>
      <w:r w:rsidRPr="00296A71">
        <w:rPr>
          <w:rFonts w:asciiTheme="minorHAnsi" w:hAnsiTheme="minorHAnsi" w:cstheme="minorHAnsi"/>
          <w:b/>
          <w:sz w:val="24"/>
          <w:szCs w:val="24"/>
        </w:rPr>
        <w:t xml:space="preserve">    Celkem rozúčtované služby nájemníkům                   </w:t>
      </w:r>
      <w:r>
        <w:rPr>
          <w:rFonts w:asciiTheme="minorHAnsi" w:hAnsiTheme="minorHAnsi" w:cstheme="minorHAnsi"/>
          <w:b/>
          <w:sz w:val="24"/>
          <w:szCs w:val="24"/>
        </w:rPr>
        <w:t xml:space="preserve">       </w:t>
      </w:r>
      <w:r w:rsidRPr="00296A71">
        <w:rPr>
          <w:rFonts w:asciiTheme="minorHAnsi" w:hAnsiTheme="minorHAnsi" w:cstheme="minorHAnsi"/>
          <w:b/>
          <w:sz w:val="24"/>
          <w:szCs w:val="24"/>
        </w:rPr>
        <w:t>846 469,00 Kč</w:t>
      </w:r>
    </w:p>
    <w:p w:rsidR="00296A71" w:rsidRPr="00296A71" w:rsidRDefault="00296A71" w:rsidP="00296A71">
      <w:pPr>
        <w:rPr>
          <w:rFonts w:asciiTheme="minorHAnsi" w:hAnsiTheme="minorHAnsi" w:cstheme="minorHAnsi"/>
          <w:b/>
          <w:sz w:val="24"/>
          <w:szCs w:val="24"/>
        </w:rPr>
      </w:pPr>
    </w:p>
    <w:p w:rsidR="00296A71" w:rsidRPr="00296A71" w:rsidRDefault="00296A71" w:rsidP="00296A71">
      <w:pPr>
        <w:pStyle w:val="western"/>
        <w:spacing w:before="0" w:after="0"/>
        <w:ind w:left="2160" w:hanging="2160"/>
        <w:rPr>
          <w:rFonts w:asciiTheme="minorHAnsi" w:hAnsiTheme="minorHAnsi" w:cstheme="minorHAnsi"/>
          <w:b/>
          <w:color w:val="FF0000"/>
        </w:rPr>
      </w:pPr>
    </w:p>
    <w:p w:rsidR="00296A71" w:rsidRPr="00296A71" w:rsidRDefault="00296A71" w:rsidP="00296A71">
      <w:pPr>
        <w:pStyle w:val="western"/>
        <w:spacing w:before="0" w:after="0"/>
        <w:jc w:val="both"/>
        <w:rPr>
          <w:rFonts w:asciiTheme="minorHAnsi" w:hAnsiTheme="minorHAnsi" w:cstheme="minorHAnsi"/>
          <w:b/>
          <w:bCs/>
          <w:color w:val="FF0000"/>
        </w:rPr>
      </w:pPr>
      <w:r w:rsidRPr="00296A71">
        <w:rPr>
          <w:rFonts w:asciiTheme="minorHAnsi" w:hAnsiTheme="minorHAnsi" w:cstheme="minorHAnsi"/>
        </w:rPr>
        <w:t>Výnosy z nebytových prostor v roce 2022 : Redistribuce, Telefonica, sklady a komory celkem 328 322,-</w:t>
      </w:r>
      <w:r w:rsidRPr="00296A71">
        <w:rPr>
          <w:rFonts w:asciiTheme="minorHAnsi" w:hAnsiTheme="minorHAnsi" w:cstheme="minorHAnsi"/>
          <w:bCs/>
        </w:rPr>
        <w:t xml:space="preserve"> Kč jsou součástí vyúčtování služeb.</w:t>
      </w:r>
    </w:p>
    <w:p w:rsidR="00296A71" w:rsidRPr="00296A71" w:rsidRDefault="00296A71" w:rsidP="00296A71">
      <w:pPr>
        <w:pStyle w:val="western"/>
        <w:spacing w:before="0" w:after="0"/>
        <w:jc w:val="both"/>
        <w:rPr>
          <w:rFonts w:asciiTheme="minorHAnsi" w:hAnsiTheme="minorHAnsi" w:cstheme="minorHAnsi"/>
          <w:bCs/>
        </w:rPr>
      </w:pPr>
      <w:r w:rsidRPr="00296A71">
        <w:rPr>
          <w:rFonts w:asciiTheme="minorHAnsi" w:hAnsiTheme="minorHAnsi" w:cstheme="minorHAnsi"/>
          <w:bCs/>
        </w:rPr>
        <w:t>Poštovné (úč. 315.17) je součástí vyúčtování, rovněž prádelna je v saldu PRE (324.15).</w:t>
      </w:r>
    </w:p>
    <w:p w:rsidR="00296A71" w:rsidRPr="00296A71" w:rsidRDefault="00296A71" w:rsidP="00296A71">
      <w:pPr>
        <w:pStyle w:val="western"/>
        <w:spacing w:before="0" w:after="0"/>
        <w:jc w:val="both"/>
        <w:rPr>
          <w:rFonts w:asciiTheme="minorHAnsi" w:hAnsiTheme="minorHAnsi" w:cstheme="minorHAnsi"/>
          <w:bCs/>
        </w:rPr>
      </w:pPr>
      <w:r w:rsidRPr="00296A71">
        <w:rPr>
          <w:rFonts w:asciiTheme="minorHAnsi" w:hAnsiTheme="minorHAnsi" w:cstheme="minorHAnsi"/>
          <w:b/>
          <w:bCs/>
        </w:rPr>
        <w:t xml:space="preserve"> Za rok 2022 se rozdělil mezi uživatele vyúčtování služeb ve výši 846 469,- Kč</w:t>
      </w:r>
      <w:r w:rsidRPr="00296A71">
        <w:rPr>
          <w:rFonts w:asciiTheme="minorHAnsi" w:hAnsiTheme="minorHAnsi" w:cstheme="minorHAnsi"/>
          <w:bCs/>
        </w:rPr>
        <w:t>.</w:t>
      </w: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 xml:space="preserve"> </w:t>
      </w: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Každý měsíc s výjimkou letních měsíců, kdy se kontrola kumuluje a to dva měsíce najednou je prováděna kontrola účetních dokladů zaúčtovaných v Pokladní knize. Doklady jsou odsouhlasené a podepsané dvěma členy VSV a jsou zapsány do Pokladní knihy. Konečná částka příruční pokladny vždy souhlasila s částkou uvedenou v Pokladní knize.  Z této kontroly je každý měsíc vyhotoven protokol.</w:t>
      </w:r>
    </w:p>
    <w:p w:rsidR="00296A71" w:rsidRPr="00296A71" w:rsidRDefault="00296A71" w:rsidP="00296A71">
      <w:pPr>
        <w:pStyle w:val="western"/>
        <w:spacing w:before="0" w:after="0"/>
        <w:jc w:val="both"/>
        <w:rPr>
          <w:rFonts w:asciiTheme="minorHAnsi" w:hAnsiTheme="minorHAnsi" w:cstheme="minorHAnsi"/>
        </w:rPr>
      </w:pP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„Pokladní kniha“ s finančními doklady je předávána každý měsíc správci k zaúčtování. Finanční doklady účtované na účtech Hlavní účetní knihy tj. zkontrolované faktury po věcné i formální stránce a dvěma členy výboru podepsané, jsou k zaúčtování na příslušné účty správci okamžitě.</w:t>
      </w:r>
    </w:p>
    <w:p w:rsidR="00296A71" w:rsidRPr="00296A71" w:rsidRDefault="00296A71" w:rsidP="00296A71">
      <w:pPr>
        <w:pStyle w:val="western"/>
        <w:spacing w:before="0" w:after="0"/>
        <w:jc w:val="both"/>
        <w:rPr>
          <w:rFonts w:asciiTheme="minorHAnsi" w:hAnsiTheme="minorHAnsi" w:cstheme="minorHAnsi"/>
        </w:rPr>
      </w:pP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 xml:space="preserve">Ke kontrole za rok 2022 dostala KK všechny finanční doklady.  KK odsouhlasila každý doklad a jeho zaúčtování v Hlavní účetní knize a doklady označila šifrou (doklady spadající do Pokladní knihy jsou kontrolovány a šifrovány při kontrole každý měsíc, faktury uhrazované přes účet u Čs. Spořitelny jsou šifrovány při odsouhlasení s Hlavní účetní knihou). </w:t>
      </w:r>
    </w:p>
    <w:p w:rsidR="00296A71" w:rsidRPr="00296A71" w:rsidRDefault="00296A71" w:rsidP="00296A71">
      <w:pPr>
        <w:pStyle w:val="western"/>
        <w:spacing w:before="0" w:after="0"/>
        <w:jc w:val="both"/>
        <w:rPr>
          <w:rFonts w:asciiTheme="minorHAnsi" w:hAnsiTheme="minorHAnsi" w:cstheme="minorHAnsi"/>
        </w:rPr>
      </w:pPr>
      <w:r w:rsidRPr="00296A71">
        <w:rPr>
          <w:rFonts w:asciiTheme="minorHAnsi" w:hAnsiTheme="minorHAnsi" w:cstheme="minorHAnsi"/>
        </w:rPr>
        <w:t xml:space="preserve"> Zaúčtované doklady souhlasí s doloženou Hlavní účetní knihou a výpisy s ČS. Spořitelny.</w:t>
      </w:r>
    </w:p>
    <w:p w:rsidR="00296A71" w:rsidRPr="00296A71" w:rsidRDefault="00296A71" w:rsidP="00296A71">
      <w:pPr>
        <w:pStyle w:val="western"/>
        <w:spacing w:before="0" w:after="0"/>
        <w:jc w:val="both"/>
        <w:rPr>
          <w:rFonts w:asciiTheme="minorHAnsi" w:hAnsiTheme="minorHAnsi" w:cstheme="minorHAnsi"/>
        </w:rPr>
      </w:pPr>
    </w:p>
    <w:p w:rsidR="00296A71" w:rsidRPr="00296A71" w:rsidRDefault="00296A71" w:rsidP="00296A71">
      <w:pPr>
        <w:pStyle w:val="western"/>
        <w:spacing w:before="0" w:after="0"/>
        <w:jc w:val="both"/>
        <w:rPr>
          <w:rFonts w:asciiTheme="minorHAnsi" w:hAnsiTheme="minorHAnsi" w:cstheme="minorHAnsi"/>
        </w:rPr>
      </w:pPr>
    </w:p>
    <w:p w:rsidR="00F34A90" w:rsidRDefault="00F34A90" w:rsidP="00296A71">
      <w:pPr>
        <w:pStyle w:val="western"/>
        <w:spacing w:before="0" w:after="0"/>
        <w:jc w:val="both"/>
        <w:rPr>
          <w:rFonts w:asciiTheme="minorHAnsi" w:hAnsiTheme="minorHAnsi" w:cstheme="minorHAnsi"/>
        </w:rPr>
      </w:pPr>
      <w:r>
        <w:rPr>
          <w:rFonts w:asciiTheme="minorHAnsi" w:hAnsiTheme="minorHAnsi" w:cstheme="minorHAnsi"/>
        </w:rPr>
        <w:t xml:space="preserve">          </w:t>
      </w:r>
      <w:r w:rsidR="00296A71" w:rsidRPr="00296A71">
        <w:rPr>
          <w:rFonts w:asciiTheme="minorHAnsi" w:hAnsiTheme="minorHAnsi" w:cstheme="minorHAnsi"/>
        </w:rPr>
        <w:t xml:space="preserve">Ing. Václav Pícha, FCCA                                                                             Ing Jan Korb  </w:t>
      </w:r>
    </w:p>
    <w:p w:rsidR="00296A71" w:rsidRPr="00296A71" w:rsidRDefault="00F34A90" w:rsidP="00296A71">
      <w:pPr>
        <w:pStyle w:val="western"/>
        <w:spacing w:before="0" w:after="0"/>
        <w:jc w:val="both"/>
        <w:rPr>
          <w:rFonts w:asciiTheme="minorHAnsi" w:hAnsiTheme="minorHAnsi" w:cstheme="minorHAnsi"/>
        </w:rPr>
      </w:pPr>
      <w:r>
        <w:rPr>
          <w:rFonts w:asciiTheme="minorHAnsi" w:hAnsiTheme="minorHAnsi" w:cstheme="minorHAnsi"/>
        </w:rPr>
        <w:t xml:space="preserve">            člen kontrolní komise</w:t>
      </w:r>
      <w:r w:rsidR="00296A71" w:rsidRPr="00296A71">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předseda kontrolní komise</w:t>
      </w:r>
    </w:p>
    <w:p w:rsidR="00F34A90" w:rsidRDefault="00F34A90" w:rsidP="00F34A90">
      <w:pPr>
        <w:pStyle w:val="western"/>
        <w:spacing w:before="0" w:after="0"/>
        <w:jc w:val="both"/>
        <w:rPr>
          <w:rFonts w:asciiTheme="minorHAnsi" w:hAnsiTheme="minorHAnsi" w:cstheme="minorHAnsi"/>
          <w:color w:val="auto"/>
        </w:rPr>
      </w:pPr>
    </w:p>
    <w:p w:rsidR="00F34A90" w:rsidRDefault="00F34A90" w:rsidP="00F34A90">
      <w:pPr>
        <w:pStyle w:val="western"/>
        <w:spacing w:before="0" w:after="0"/>
        <w:jc w:val="both"/>
        <w:rPr>
          <w:rFonts w:asciiTheme="minorHAnsi" w:hAnsiTheme="minorHAnsi" w:cstheme="minorHAnsi"/>
          <w:color w:val="auto"/>
        </w:rPr>
      </w:pPr>
    </w:p>
    <w:p w:rsidR="00F34A90" w:rsidRPr="00296A71" w:rsidRDefault="00F34A90" w:rsidP="00F34A90">
      <w:pPr>
        <w:pStyle w:val="western"/>
        <w:spacing w:before="0" w:after="0"/>
        <w:jc w:val="both"/>
        <w:rPr>
          <w:rFonts w:asciiTheme="minorHAnsi" w:hAnsiTheme="minorHAnsi" w:cstheme="minorHAnsi"/>
        </w:rPr>
      </w:pPr>
      <w:r w:rsidRPr="00296A71">
        <w:rPr>
          <w:rFonts w:asciiTheme="minorHAnsi" w:hAnsiTheme="minorHAnsi" w:cstheme="minorHAnsi"/>
          <w:color w:val="auto"/>
        </w:rPr>
        <w:t xml:space="preserve">3. </w:t>
      </w:r>
      <w:r w:rsidRPr="00296A71">
        <w:rPr>
          <w:rFonts w:asciiTheme="minorHAnsi" w:hAnsiTheme="minorHAnsi" w:cstheme="minorHAnsi"/>
        </w:rPr>
        <w:t>11. 2023</w:t>
      </w:r>
    </w:p>
    <w:p w:rsidR="00296A71" w:rsidRPr="00967959" w:rsidRDefault="00F34A90" w:rsidP="00296A71">
      <w:pPr>
        <w:rPr>
          <w:b/>
        </w:rPr>
      </w:pPr>
      <w:r>
        <w:rPr>
          <w:b/>
        </w:rPr>
        <w:t xml:space="preserve">    </w:t>
      </w:r>
    </w:p>
    <w:p w:rsidR="00296A71" w:rsidRDefault="00296A71" w:rsidP="00296A71">
      <w:pPr>
        <w:pStyle w:val="Nzev"/>
        <w:jc w:val="both"/>
        <w:rPr>
          <w:sz w:val="24"/>
        </w:rPr>
      </w:pPr>
    </w:p>
    <w:p w:rsidR="00C11F89" w:rsidRDefault="00C11F89" w:rsidP="00FB2EF6">
      <w:pPr>
        <w:pStyle w:val="Normln1"/>
        <w:ind w:right="-426"/>
        <w:rPr>
          <w:rFonts w:asciiTheme="minorHAnsi" w:eastAsia="Calibri" w:hAnsiTheme="minorHAnsi" w:cstheme="minorHAnsi"/>
          <w:b/>
          <w:color w:val="auto"/>
          <w:sz w:val="28"/>
          <w:szCs w:val="28"/>
          <w:u w:val="single"/>
        </w:rPr>
      </w:pPr>
    </w:p>
    <w:p w:rsidR="00C11F89" w:rsidRDefault="00C11F89" w:rsidP="00FB2EF6">
      <w:pPr>
        <w:pStyle w:val="Normln1"/>
        <w:ind w:right="-426"/>
        <w:rPr>
          <w:rFonts w:asciiTheme="minorHAnsi" w:eastAsia="Calibri" w:hAnsiTheme="minorHAnsi" w:cstheme="minorHAnsi"/>
          <w:b/>
          <w:color w:val="auto"/>
          <w:sz w:val="28"/>
          <w:szCs w:val="28"/>
          <w:u w:val="single"/>
        </w:rPr>
      </w:pPr>
    </w:p>
    <w:p w:rsidR="00C11F89" w:rsidRDefault="00C11F89"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296A71" w:rsidRDefault="00296A71" w:rsidP="00FB2EF6">
      <w:pPr>
        <w:pStyle w:val="Normln1"/>
        <w:ind w:right="-426"/>
        <w:rPr>
          <w:rFonts w:asciiTheme="minorHAnsi" w:eastAsia="Calibri" w:hAnsiTheme="minorHAnsi" w:cstheme="minorHAnsi"/>
          <w:b/>
          <w:color w:val="auto"/>
          <w:sz w:val="28"/>
          <w:szCs w:val="28"/>
          <w:u w:val="single"/>
        </w:rPr>
      </w:pPr>
    </w:p>
    <w:p w:rsidR="00AA74A3" w:rsidRPr="00B86A59" w:rsidRDefault="00555AA8" w:rsidP="00FB2EF6">
      <w:pPr>
        <w:pStyle w:val="Normln1"/>
        <w:ind w:right="-426"/>
        <w:rPr>
          <w:rFonts w:asciiTheme="minorHAnsi" w:eastAsia="Calibri" w:hAnsiTheme="minorHAnsi" w:cstheme="minorHAnsi"/>
          <w:b/>
          <w:color w:val="auto"/>
          <w:sz w:val="28"/>
          <w:szCs w:val="28"/>
          <w:u w:val="single"/>
        </w:rPr>
      </w:pPr>
      <w:r w:rsidRPr="00555AA8">
        <w:rPr>
          <w:rFonts w:asciiTheme="minorHAnsi" w:eastAsia="Calibri" w:hAnsiTheme="minorHAnsi" w:cstheme="minorHAnsi"/>
          <w:b/>
          <w:color w:val="auto"/>
          <w:sz w:val="28"/>
          <w:szCs w:val="28"/>
        </w:rPr>
        <w:t xml:space="preserve">                </w:t>
      </w:r>
      <w:r w:rsidR="0073374A">
        <w:rPr>
          <w:rFonts w:asciiTheme="minorHAnsi" w:eastAsia="Calibri" w:hAnsiTheme="minorHAnsi" w:cstheme="minorHAnsi"/>
          <w:b/>
          <w:color w:val="auto"/>
          <w:sz w:val="28"/>
          <w:szCs w:val="28"/>
          <w:u w:val="single"/>
        </w:rPr>
        <w:t xml:space="preserve">Přehled výdajů a příjmů za rok 2022 </w:t>
      </w:r>
    </w:p>
    <w:p w:rsidR="001F76D8" w:rsidRPr="00B86A59" w:rsidRDefault="001F76D8" w:rsidP="00FB2EF6">
      <w:pPr>
        <w:pStyle w:val="Normln1"/>
        <w:ind w:right="-426"/>
        <w:rPr>
          <w:rFonts w:asciiTheme="minorHAnsi" w:eastAsia="Calibri" w:hAnsiTheme="minorHAnsi" w:cstheme="minorHAnsi"/>
          <w:color w:val="auto"/>
          <w:sz w:val="24"/>
          <w:szCs w:val="24"/>
        </w:rPr>
      </w:pPr>
    </w:p>
    <w:tbl>
      <w:tblPr>
        <w:tblW w:w="8591" w:type="dxa"/>
        <w:jc w:val="center"/>
        <w:tblCellMar>
          <w:left w:w="70" w:type="dxa"/>
          <w:right w:w="70" w:type="dxa"/>
        </w:tblCellMar>
        <w:tblLook w:val="04A0" w:firstRow="1" w:lastRow="0" w:firstColumn="1" w:lastColumn="0" w:noHBand="0" w:noVBand="1"/>
      </w:tblPr>
      <w:tblGrid>
        <w:gridCol w:w="4911"/>
        <w:gridCol w:w="3680"/>
      </w:tblGrid>
      <w:tr w:rsidR="002B7349" w:rsidRPr="00B86A59" w:rsidTr="00B86A59">
        <w:trPr>
          <w:trHeight w:val="402"/>
          <w:jc w:val="center"/>
        </w:trPr>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Rozpis fakturovaných nákladů FO za r. 2022</w:t>
            </w:r>
          </w:p>
        </w:tc>
        <w:tc>
          <w:tcPr>
            <w:tcW w:w="3680" w:type="dxa"/>
            <w:tcBorders>
              <w:top w:val="single" w:sz="4" w:space="0" w:color="auto"/>
              <w:left w:val="nil"/>
              <w:bottom w:val="single" w:sz="4" w:space="0" w:color="auto"/>
              <w:right w:val="single" w:sz="4" w:space="0" w:color="auto"/>
            </w:tcBorders>
            <w:shd w:val="clear" w:color="auto" w:fill="auto"/>
            <w:noWrap/>
            <w:vAlign w:val="center"/>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požární kontrola</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87 700,00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oplech</w:t>
            </w:r>
            <w:r w:rsidR="006748C8">
              <w:rPr>
                <w:rFonts w:asciiTheme="minorHAnsi" w:hAnsiTheme="minorHAnsi" w:cstheme="minorHAnsi"/>
                <w:sz w:val="24"/>
                <w:szCs w:val="24"/>
              </w:rPr>
              <w:t>o</w:t>
            </w:r>
            <w:r w:rsidRPr="00B86A59">
              <w:rPr>
                <w:rFonts w:asciiTheme="minorHAnsi" w:hAnsiTheme="minorHAnsi" w:cstheme="minorHAnsi"/>
                <w:sz w:val="24"/>
                <w:szCs w:val="24"/>
              </w:rPr>
              <w:t>vání venkovních poplatků</w:t>
            </w:r>
            <w:r w:rsidR="00F474F4">
              <w:rPr>
                <w:rFonts w:asciiTheme="minorHAnsi" w:hAnsiTheme="minorHAnsi" w:cstheme="minorHAnsi"/>
                <w:sz w:val="24"/>
                <w:szCs w:val="24"/>
              </w:rPr>
              <w:t xml:space="preserve"> společných lodžií</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34 336,00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zpracování dokumentace požární ochrany</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70 000,00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výměna sítí proti holubům</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63 279,00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ha</w:t>
            </w:r>
            <w:r w:rsidR="006748C8">
              <w:rPr>
                <w:rFonts w:asciiTheme="minorHAnsi" w:hAnsiTheme="minorHAnsi" w:cstheme="minorHAnsi"/>
                <w:sz w:val="24"/>
                <w:szCs w:val="24"/>
              </w:rPr>
              <w:t>si</w:t>
            </w:r>
            <w:r w:rsidRPr="00B86A59">
              <w:rPr>
                <w:rFonts w:asciiTheme="minorHAnsi" w:hAnsiTheme="minorHAnsi" w:cstheme="minorHAnsi"/>
                <w:sz w:val="24"/>
                <w:szCs w:val="24"/>
              </w:rPr>
              <w:t>cí přístroje</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58 292,96</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úprava vodoměrné soustavy</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160 531,00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F474F4">
            <w:pPr>
              <w:rPr>
                <w:rFonts w:asciiTheme="minorHAnsi" w:hAnsiTheme="minorHAnsi" w:cstheme="minorHAnsi"/>
                <w:sz w:val="24"/>
                <w:szCs w:val="24"/>
              </w:rPr>
            </w:pPr>
            <w:r w:rsidRPr="00B86A59">
              <w:rPr>
                <w:rFonts w:asciiTheme="minorHAnsi" w:hAnsiTheme="minorHAnsi" w:cstheme="minorHAnsi"/>
                <w:sz w:val="24"/>
                <w:szCs w:val="24"/>
              </w:rPr>
              <w:t xml:space="preserve">drobné </w:t>
            </w:r>
            <w:r w:rsidR="00F474F4">
              <w:rPr>
                <w:rFonts w:asciiTheme="minorHAnsi" w:hAnsiTheme="minorHAnsi" w:cstheme="minorHAnsi"/>
                <w:sz w:val="24"/>
                <w:szCs w:val="24"/>
              </w:rPr>
              <w:t>stavební</w:t>
            </w:r>
            <w:r w:rsidRPr="00B86A59">
              <w:rPr>
                <w:rFonts w:asciiTheme="minorHAnsi" w:hAnsiTheme="minorHAnsi" w:cstheme="minorHAnsi"/>
                <w:sz w:val="24"/>
                <w:szCs w:val="24"/>
              </w:rPr>
              <w:t xml:space="preserve"> práce</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11 098,00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požární kontrola revize</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28 301,90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2B7349" w:rsidP="002B7349">
            <w:pPr>
              <w:rPr>
                <w:rFonts w:asciiTheme="minorHAnsi" w:hAnsiTheme="minorHAnsi" w:cstheme="minorHAnsi"/>
                <w:sz w:val="24"/>
                <w:szCs w:val="24"/>
              </w:rPr>
            </w:pPr>
            <w:r w:rsidRPr="00B86A59">
              <w:rPr>
                <w:rFonts w:asciiTheme="minorHAnsi" w:hAnsiTheme="minorHAnsi" w:cstheme="minorHAnsi"/>
                <w:sz w:val="24"/>
                <w:szCs w:val="24"/>
              </w:rPr>
              <w:t>zámečnické práce</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18 343,00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hideMark/>
          </w:tcPr>
          <w:p w:rsidR="002B7349" w:rsidRPr="00B86A59" w:rsidRDefault="009737E1" w:rsidP="002B7349">
            <w:pPr>
              <w:rPr>
                <w:rFonts w:asciiTheme="minorHAnsi" w:hAnsiTheme="minorHAnsi" w:cstheme="minorHAnsi"/>
                <w:sz w:val="24"/>
                <w:szCs w:val="24"/>
              </w:rPr>
            </w:pPr>
            <w:r>
              <w:rPr>
                <w:rFonts w:asciiTheme="minorHAnsi" w:hAnsiTheme="minorHAnsi" w:cstheme="minorHAnsi"/>
                <w:sz w:val="24"/>
                <w:szCs w:val="24"/>
              </w:rPr>
              <w:t>Výměna vstupních dveří včetně čipového systému (vchod 1210/6)</w:t>
            </w:r>
          </w:p>
        </w:tc>
        <w:tc>
          <w:tcPr>
            <w:tcW w:w="3680" w:type="dxa"/>
            <w:tcBorders>
              <w:top w:val="nil"/>
              <w:left w:val="nil"/>
              <w:bottom w:val="single" w:sz="4" w:space="0" w:color="auto"/>
              <w:right w:val="single" w:sz="4" w:space="0" w:color="auto"/>
            </w:tcBorders>
            <w:shd w:val="clear" w:color="auto" w:fill="auto"/>
            <w:hideMark/>
          </w:tcPr>
          <w:p w:rsidR="002B7349" w:rsidRPr="00B86A59" w:rsidRDefault="002B7349" w:rsidP="002B7349">
            <w:pPr>
              <w:jc w:val="right"/>
              <w:rPr>
                <w:rFonts w:asciiTheme="minorHAnsi" w:hAnsiTheme="minorHAnsi" w:cstheme="minorHAnsi"/>
                <w:sz w:val="24"/>
                <w:szCs w:val="24"/>
              </w:rPr>
            </w:pPr>
            <w:r w:rsidRPr="00B86A59">
              <w:rPr>
                <w:rFonts w:asciiTheme="minorHAnsi" w:hAnsiTheme="minorHAnsi" w:cstheme="minorHAnsi"/>
                <w:sz w:val="24"/>
                <w:szCs w:val="24"/>
              </w:rPr>
              <w:t xml:space="preserve">  216 600,00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celkem</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748 481,86</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 </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Stav účtu FO roku 2022</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 </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Převod zůstatku z roku 2021</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3 665 773,01</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6748C8" w:rsidP="002B7349">
            <w:pPr>
              <w:rPr>
                <w:rFonts w:asciiTheme="minorHAnsi" w:hAnsiTheme="minorHAnsi" w:cstheme="minorHAnsi"/>
                <w:color w:val="auto"/>
                <w:sz w:val="24"/>
                <w:szCs w:val="24"/>
              </w:rPr>
            </w:pPr>
            <w:r>
              <w:rPr>
                <w:rFonts w:asciiTheme="minorHAnsi" w:hAnsiTheme="minorHAnsi" w:cstheme="minorHAnsi"/>
                <w:color w:val="auto"/>
                <w:sz w:val="24"/>
                <w:szCs w:val="24"/>
              </w:rPr>
              <w:t xml:space="preserve">Zálohy roku </w:t>
            </w:r>
            <w:r w:rsidR="002B7349" w:rsidRPr="00B86A59">
              <w:rPr>
                <w:rFonts w:asciiTheme="minorHAnsi" w:hAnsiTheme="minorHAnsi" w:cstheme="minorHAnsi"/>
                <w:color w:val="auto"/>
                <w:sz w:val="24"/>
                <w:szCs w:val="24"/>
              </w:rPr>
              <w:t>2022</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1 507 200,00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6748C8" w:rsidP="002B7349">
            <w:pPr>
              <w:rPr>
                <w:rFonts w:asciiTheme="minorHAnsi" w:hAnsiTheme="minorHAnsi" w:cstheme="minorHAnsi"/>
                <w:color w:val="auto"/>
                <w:sz w:val="24"/>
                <w:szCs w:val="24"/>
              </w:rPr>
            </w:pPr>
            <w:r>
              <w:rPr>
                <w:rFonts w:asciiTheme="minorHAnsi" w:hAnsiTheme="minorHAnsi" w:cstheme="minorHAnsi"/>
                <w:color w:val="auto"/>
                <w:sz w:val="24"/>
                <w:szCs w:val="24"/>
              </w:rPr>
              <w:t xml:space="preserve">Fakturované náklady za  rok </w:t>
            </w:r>
            <w:r w:rsidR="002B7349" w:rsidRPr="00B86A59">
              <w:rPr>
                <w:rFonts w:asciiTheme="minorHAnsi" w:hAnsiTheme="minorHAnsi" w:cstheme="minorHAnsi"/>
                <w:color w:val="auto"/>
                <w:sz w:val="24"/>
                <w:szCs w:val="24"/>
              </w:rPr>
              <w:t>2022</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-748 481,86</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pojistné události</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4 785,00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oprava zaúčtování soudních poplatků</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-18 948,00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zaúčtování HV za rok 2021</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3 047,49</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color w:val="auto"/>
                <w:sz w:val="24"/>
                <w:szCs w:val="24"/>
              </w:rPr>
            </w:pPr>
            <w:r w:rsidRPr="00B86A59">
              <w:rPr>
                <w:rFonts w:asciiTheme="minorHAnsi" w:hAnsiTheme="minorHAnsi" w:cstheme="minorHAnsi"/>
                <w:color w:val="auto"/>
                <w:sz w:val="24"/>
                <w:szCs w:val="24"/>
              </w:rPr>
              <w:t>vratka záloh FO (vrácení tvorby FO roku 2021)</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color w:val="auto"/>
                <w:sz w:val="24"/>
                <w:szCs w:val="24"/>
              </w:rPr>
            </w:pPr>
            <w:r w:rsidRPr="00B86A59">
              <w:rPr>
                <w:rFonts w:asciiTheme="minorHAnsi" w:hAnsiTheme="minorHAnsi" w:cstheme="minorHAnsi"/>
                <w:color w:val="auto"/>
                <w:sz w:val="24"/>
                <w:szCs w:val="24"/>
              </w:rPr>
              <w:t>-7 199,00</w:t>
            </w:r>
          </w:p>
        </w:tc>
      </w:tr>
      <w:tr w:rsidR="002B7349" w:rsidRPr="00B86A59" w:rsidTr="00B86A59">
        <w:trPr>
          <w:trHeight w:val="402"/>
          <w:jc w:val="center"/>
        </w:trPr>
        <w:tc>
          <w:tcPr>
            <w:tcW w:w="4911" w:type="dxa"/>
            <w:tcBorders>
              <w:top w:val="nil"/>
              <w:left w:val="single" w:sz="4" w:space="0" w:color="auto"/>
              <w:bottom w:val="single" w:sz="4" w:space="0" w:color="auto"/>
              <w:right w:val="single" w:sz="4" w:space="0" w:color="auto"/>
            </w:tcBorders>
            <w:shd w:val="clear" w:color="auto" w:fill="auto"/>
            <w:noWrap/>
            <w:vAlign w:val="bottom"/>
            <w:hideMark/>
          </w:tcPr>
          <w:p w:rsidR="002B7349" w:rsidRPr="00B86A59" w:rsidRDefault="002B7349" w:rsidP="002B7349">
            <w:pPr>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Převod zůstatku FO/2022 do FO/2023</w:t>
            </w:r>
          </w:p>
        </w:tc>
        <w:tc>
          <w:tcPr>
            <w:tcW w:w="3680" w:type="dxa"/>
            <w:tcBorders>
              <w:top w:val="nil"/>
              <w:left w:val="nil"/>
              <w:bottom w:val="single" w:sz="4" w:space="0" w:color="auto"/>
              <w:right w:val="single" w:sz="4" w:space="0" w:color="auto"/>
            </w:tcBorders>
            <w:shd w:val="clear" w:color="auto" w:fill="auto"/>
            <w:noWrap/>
            <w:vAlign w:val="bottom"/>
            <w:hideMark/>
          </w:tcPr>
          <w:p w:rsidR="002B7349" w:rsidRPr="00B86A59" w:rsidRDefault="002B7349" w:rsidP="002B7349">
            <w:pPr>
              <w:jc w:val="right"/>
              <w:rPr>
                <w:rFonts w:asciiTheme="minorHAnsi" w:hAnsiTheme="minorHAnsi" w:cstheme="minorHAnsi"/>
                <w:b/>
                <w:bCs/>
                <w:color w:val="auto"/>
                <w:sz w:val="24"/>
                <w:szCs w:val="24"/>
              </w:rPr>
            </w:pPr>
            <w:r w:rsidRPr="00B86A59">
              <w:rPr>
                <w:rFonts w:asciiTheme="minorHAnsi" w:hAnsiTheme="minorHAnsi" w:cstheme="minorHAnsi"/>
                <w:b/>
                <w:bCs/>
                <w:color w:val="auto"/>
                <w:sz w:val="24"/>
                <w:szCs w:val="24"/>
              </w:rPr>
              <w:t>4 406 176,64</w:t>
            </w:r>
          </w:p>
        </w:tc>
      </w:tr>
    </w:tbl>
    <w:p w:rsidR="001F76D8" w:rsidRPr="00B86A59" w:rsidRDefault="001F76D8"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Default="000C6CB9" w:rsidP="00FB2EF6">
      <w:pPr>
        <w:pStyle w:val="Normln1"/>
        <w:ind w:right="-426"/>
        <w:rPr>
          <w:rFonts w:asciiTheme="minorHAnsi" w:eastAsia="Calibri" w:hAnsiTheme="minorHAnsi" w:cstheme="minorHAnsi"/>
          <w:color w:val="auto"/>
          <w:sz w:val="24"/>
          <w:szCs w:val="24"/>
        </w:rPr>
      </w:pPr>
    </w:p>
    <w:p w:rsidR="006748C8" w:rsidRDefault="006748C8" w:rsidP="00FB2EF6">
      <w:pPr>
        <w:pStyle w:val="Normln1"/>
        <w:ind w:right="-426"/>
        <w:rPr>
          <w:rFonts w:asciiTheme="minorHAnsi" w:eastAsia="Calibri" w:hAnsiTheme="minorHAnsi" w:cstheme="minorHAnsi"/>
          <w:color w:val="auto"/>
          <w:sz w:val="24"/>
          <w:szCs w:val="24"/>
        </w:rPr>
      </w:pPr>
    </w:p>
    <w:tbl>
      <w:tblPr>
        <w:tblW w:w="8395" w:type="dxa"/>
        <w:tblCellMar>
          <w:left w:w="70" w:type="dxa"/>
          <w:right w:w="70" w:type="dxa"/>
        </w:tblCellMar>
        <w:tblLook w:val="04A0" w:firstRow="1" w:lastRow="0" w:firstColumn="1" w:lastColumn="0" w:noHBand="0" w:noVBand="1"/>
      </w:tblPr>
      <w:tblGrid>
        <w:gridCol w:w="1418"/>
        <w:gridCol w:w="2268"/>
        <w:gridCol w:w="1559"/>
        <w:gridCol w:w="1559"/>
        <w:gridCol w:w="1591"/>
      </w:tblGrid>
      <w:tr w:rsidR="006748C8" w:rsidRPr="006748C8" w:rsidTr="002C2732">
        <w:trPr>
          <w:trHeight w:val="315"/>
        </w:trPr>
        <w:tc>
          <w:tcPr>
            <w:tcW w:w="5245" w:type="dxa"/>
            <w:gridSpan w:val="3"/>
            <w:tcBorders>
              <w:top w:val="nil"/>
              <w:left w:val="nil"/>
              <w:bottom w:val="nil"/>
              <w:right w:val="nil"/>
            </w:tcBorders>
            <w:shd w:val="clear" w:color="auto" w:fill="auto"/>
            <w:noWrap/>
            <w:vAlign w:val="bottom"/>
            <w:hideMark/>
          </w:tcPr>
          <w:p w:rsidR="002C2732" w:rsidRDefault="002C2732" w:rsidP="006748C8">
            <w:pPr>
              <w:rPr>
                <w:rFonts w:ascii="Calibri" w:hAnsi="Calibri" w:cs="Calibri"/>
                <w:b/>
                <w:bCs/>
                <w:sz w:val="24"/>
                <w:szCs w:val="24"/>
              </w:rPr>
            </w:pPr>
          </w:p>
          <w:p w:rsidR="00296A71" w:rsidRDefault="00296A71" w:rsidP="006748C8">
            <w:pPr>
              <w:rPr>
                <w:rFonts w:ascii="Calibri" w:hAnsi="Calibri" w:cs="Calibri"/>
                <w:b/>
                <w:bCs/>
                <w:sz w:val="24"/>
                <w:szCs w:val="24"/>
              </w:rPr>
            </w:pPr>
          </w:p>
          <w:p w:rsidR="00296A71" w:rsidRDefault="00296A71" w:rsidP="006748C8">
            <w:pPr>
              <w:rPr>
                <w:rFonts w:ascii="Calibri" w:hAnsi="Calibri" w:cs="Calibri"/>
                <w:b/>
                <w:bCs/>
                <w:sz w:val="24"/>
                <w:szCs w:val="24"/>
              </w:rPr>
            </w:pPr>
          </w:p>
          <w:p w:rsidR="00296A71" w:rsidRDefault="00296A71" w:rsidP="006748C8">
            <w:pPr>
              <w:rPr>
                <w:rFonts w:ascii="Calibri" w:hAnsi="Calibri" w:cs="Calibri"/>
                <w:b/>
                <w:bCs/>
                <w:sz w:val="24"/>
                <w:szCs w:val="24"/>
              </w:rPr>
            </w:pPr>
          </w:p>
          <w:p w:rsidR="006748C8" w:rsidRPr="006748C8" w:rsidRDefault="006748C8" w:rsidP="006748C8">
            <w:pPr>
              <w:rPr>
                <w:rFonts w:ascii="Calibri" w:hAnsi="Calibri" w:cs="Calibri"/>
                <w:b/>
                <w:bCs/>
                <w:sz w:val="24"/>
                <w:szCs w:val="24"/>
              </w:rPr>
            </w:pPr>
            <w:r w:rsidRPr="006748C8">
              <w:rPr>
                <w:rFonts w:ascii="Calibri" w:hAnsi="Calibri" w:cs="Calibri"/>
                <w:b/>
                <w:bCs/>
                <w:sz w:val="24"/>
                <w:szCs w:val="24"/>
              </w:rPr>
              <w:t>Vyúčtování záloh a nákladů za služby roku 2022</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b/>
                <w:bCs/>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r>
      <w:tr w:rsidR="006748C8" w:rsidRPr="006748C8" w:rsidTr="002C2732">
        <w:trPr>
          <w:trHeight w:val="315"/>
        </w:trPr>
        <w:tc>
          <w:tcPr>
            <w:tcW w:w="1418"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2268"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r>
      <w:tr w:rsidR="006748C8" w:rsidRPr="006748C8" w:rsidTr="002C2732">
        <w:trPr>
          <w:trHeight w:val="63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8C8" w:rsidRPr="00C11F89" w:rsidRDefault="006748C8" w:rsidP="006748C8">
            <w:pPr>
              <w:rPr>
                <w:rFonts w:ascii="Calibri" w:hAnsi="Calibri" w:cs="Calibri"/>
                <w:b/>
                <w:sz w:val="24"/>
                <w:szCs w:val="24"/>
              </w:rPr>
            </w:pPr>
            <w:r w:rsidRPr="00C11F89">
              <w:rPr>
                <w:rFonts w:ascii="Calibri" w:hAnsi="Calibri" w:cs="Calibri"/>
                <w:b/>
                <w:sz w:val="24"/>
                <w:szCs w:val="24"/>
              </w:rPr>
              <w:t>Číslo účtu:</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748C8" w:rsidRPr="00C11F89" w:rsidRDefault="006748C8" w:rsidP="006748C8">
            <w:pPr>
              <w:rPr>
                <w:rFonts w:ascii="Calibri" w:hAnsi="Calibri" w:cs="Calibri"/>
                <w:b/>
                <w:sz w:val="24"/>
                <w:szCs w:val="24"/>
              </w:rPr>
            </w:pPr>
            <w:r w:rsidRPr="00C11F89">
              <w:rPr>
                <w:rFonts w:ascii="Calibri" w:hAnsi="Calibri" w:cs="Calibri"/>
                <w:b/>
                <w:sz w:val="24"/>
                <w:szCs w:val="24"/>
              </w:rPr>
              <w:t>Název:</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748C8" w:rsidRPr="00C11F89" w:rsidRDefault="006748C8" w:rsidP="006748C8">
            <w:pPr>
              <w:rPr>
                <w:rFonts w:ascii="Calibri" w:hAnsi="Calibri" w:cs="Calibri"/>
                <w:b/>
                <w:sz w:val="24"/>
                <w:szCs w:val="24"/>
              </w:rPr>
            </w:pPr>
            <w:r w:rsidRPr="00C11F89">
              <w:rPr>
                <w:rFonts w:ascii="Calibri" w:hAnsi="Calibri" w:cs="Calibri"/>
                <w:b/>
                <w:sz w:val="24"/>
                <w:szCs w:val="24"/>
              </w:rPr>
              <w:t>Náklady: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748C8" w:rsidRPr="00C11F89" w:rsidRDefault="006748C8" w:rsidP="006748C8">
            <w:pPr>
              <w:rPr>
                <w:rFonts w:ascii="Calibri" w:hAnsi="Calibri" w:cs="Calibri"/>
                <w:b/>
                <w:sz w:val="24"/>
                <w:szCs w:val="24"/>
              </w:rPr>
            </w:pPr>
            <w:r w:rsidRPr="00C11F89">
              <w:rPr>
                <w:rFonts w:ascii="Calibri" w:hAnsi="Calibri" w:cs="Calibri"/>
                <w:b/>
                <w:sz w:val="24"/>
                <w:szCs w:val="24"/>
              </w:rPr>
              <w:t>Zálohy-předpis</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6748C8" w:rsidRPr="00C11F89" w:rsidRDefault="006748C8" w:rsidP="006748C8">
            <w:pPr>
              <w:rPr>
                <w:rFonts w:ascii="Calibri" w:hAnsi="Calibri" w:cs="Calibri"/>
                <w:b/>
                <w:sz w:val="24"/>
                <w:szCs w:val="24"/>
              </w:rPr>
            </w:pPr>
            <w:r w:rsidRPr="00C11F89">
              <w:rPr>
                <w:rFonts w:ascii="Calibri" w:hAnsi="Calibri" w:cs="Calibri"/>
                <w:b/>
                <w:sz w:val="24"/>
                <w:szCs w:val="24"/>
              </w:rPr>
              <w:t>přeplatky+ /nedoplatky-</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324.10</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Teplo</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4 268 343,77</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4 342 372,00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74 028,23</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324.11</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TV</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1 782 931,38</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2 515 775,00</w:t>
            </w:r>
          </w:p>
        </w:tc>
        <w:tc>
          <w:tcPr>
            <w:tcW w:w="15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126 130,62</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324.12</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SV do teplé vody</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606 713,00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0,00</w:t>
            </w:r>
          </w:p>
        </w:tc>
        <w:tc>
          <w:tcPr>
            <w:tcW w:w="1591" w:type="dxa"/>
            <w:vMerge/>
            <w:tcBorders>
              <w:top w:val="nil"/>
              <w:left w:val="single" w:sz="4" w:space="0" w:color="auto"/>
              <w:bottom w:val="single" w:sz="4" w:space="0" w:color="000000"/>
              <w:right w:val="single" w:sz="4" w:space="0" w:color="auto"/>
            </w:tcBorders>
            <w:vAlign w:val="center"/>
            <w:hideMark/>
          </w:tcPr>
          <w:p w:rsidR="006748C8" w:rsidRPr="006748C8" w:rsidRDefault="006748C8" w:rsidP="006748C8">
            <w:pPr>
              <w:rPr>
                <w:rFonts w:ascii="Calibri" w:hAnsi="Calibri" w:cs="Calibri"/>
                <w:color w:val="auto"/>
                <w:sz w:val="24"/>
                <w:szCs w:val="24"/>
              </w:rPr>
            </w:pP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324.13</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SV</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1 236 960,00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1 430 260,00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193 300,00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324.14</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Úklid</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314 433,00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388 200,00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73 767,00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324.15</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 xml:space="preserve">PRE </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222 619,88</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234 852,00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12 232,12</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324.16</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Odpadky</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514 800,00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405 018,00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-109 782,00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324.17</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Ostatní služby</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103 335,51</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101 556,00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-1 779,51</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324.18</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Odměna členů SV</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488 370,00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490 872,00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2 502,00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324.19</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Odměna správci</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330 708,00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339 012,00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8 304,00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324.20</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pojištění</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125 191,00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132 996,00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7 805,00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324.21</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Kolektory</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25 107,50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24 324,00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-783,50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324.22</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Mzdy OON</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56 000,00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42 534,00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-13 466,00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324.23</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 xml:space="preserve">Výtahy </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110 862,99</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138 528,00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27 665,01</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324.24</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C11F89" w:rsidP="006748C8">
            <w:pPr>
              <w:rPr>
                <w:rFonts w:ascii="Calibri" w:hAnsi="Calibri" w:cs="Calibri"/>
                <w:sz w:val="24"/>
                <w:szCs w:val="24"/>
              </w:rPr>
            </w:pPr>
            <w:r>
              <w:rPr>
                <w:rFonts w:ascii="Calibri" w:hAnsi="Calibri" w:cs="Calibri"/>
                <w:sz w:val="24"/>
                <w:szCs w:val="24"/>
              </w:rPr>
              <w:t>P</w:t>
            </w:r>
            <w:r w:rsidR="006748C8" w:rsidRPr="006748C8">
              <w:rPr>
                <w:rFonts w:ascii="Calibri" w:hAnsi="Calibri" w:cs="Calibri"/>
                <w:sz w:val="24"/>
                <w:szCs w:val="24"/>
              </w:rPr>
              <w:t>rovozní náklady</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101 302,06</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100 092,00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-1 210,06</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324.25</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F474F4" w:rsidP="00F474F4">
            <w:pPr>
              <w:rPr>
                <w:rFonts w:ascii="Calibri" w:hAnsi="Calibri" w:cs="Calibri"/>
                <w:sz w:val="24"/>
                <w:szCs w:val="24"/>
              </w:rPr>
            </w:pPr>
            <w:r>
              <w:rPr>
                <w:rFonts w:ascii="Calibri" w:hAnsi="Calibri" w:cs="Calibri"/>
                <w:sz w:val="24"/>
                <w:szCs w:val="24"/>
              </w:rPr>
              <w:t>Příspěvky SMBD</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11 592,00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11 112,00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-480,00</w:t>
            </w:r>
          </w:p>
        </w:tc>
      </w:tr>
      <w:tr w:rsidR="006748C8" w:rsidRPr="006748C8" w:rsidTr="002C2732">
        <w:trPr>
          <w:trHeight w:val="31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324.26</w:t>
            </w:r>
          </w:p>
        </w:tc>
        <w:tc>
          <w:tcPr>
            <w:tcW w:w="2268" w:type="dxa"/>
            <w:tcBorders>
              <w:top w:val="nil"/>
              <w:left w:val="nil"/>
              <w:bottom w:val="single" w:sz="4" w:space="0" w:color="auto"/>
              <w:right w:val="single" w:sz="4" w:space="0" w:color="auto"/>
            </w:tcBorders>
            <w:shd w:val="clear" w:color="auto" w:fill="auto"/>
            <w:noWrap/>
            <w:vAlign w:val="bottom"/>
            <w:hideMark/>
          </w:tcPr>
          <w:p w:rsidR="006748C8" w:rsidRPr="006748C8" w:rsidRDefault="00C11F89" w:rsidP="006748C8">
            <w:pPr>
              <w:rPr>
                <w:rFonts w:ascii="Calibri" w:hAnsi="Calibri" w:cs="Calibri"/>
                <w:sz w:val="24"/>
                <w:szCs w:val="24"/>
              </w:rPr>
            </w:pPr>
            <w:r>
              <w:rPr>
                <w:rFonts w:ascii="Calibri" w:hAnsi="Calibri" w:cs="Calibri"/>
                <w:sz w:val="24"/>
                <w:szCs w:val="24"/>
              </w:rPr>
              <w:t>R</w:t>
            </w:r>
            <w:r w:rsidR="006748C8" w:rsidRPr="006748C8">
              <w:rPr>
                <w:rFonts w:ascii="Calibri" w:hAnsi="Calibri" w:cs="Calibri"/>
                <w:sz w:val="24"/>
                <w:szCs w:val="24"/>
              </w:rPr>
              <w:t>ezervní fond</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100 332,00</w:t>
            </w:r>
          </w:p>
        </w:tc>
        <w:tc>
          <w:tcPr>
            <w:tcW w:w="1559"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100 332,00</w:t>
            </w:r>
          </w:p>
        </w:tc>
        <w:tc>
          <w:tcPr>
            <w:tcW w:w="1591"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0,00</w:t>
            </w:r>
          </w:p>
        </w:tc>
      </w:tr>
      <w:tr w:rsidR="006748C8" w:rsidRPr="006748C8" w:rsidTr="002C2732">
        <w:trPr>
          <w:trHeight w:val="315"/>
        </w:trPr>
        <w:tc>
          <w:tcPr>
            <w:tcW w:w="6804" w:type="dxa"/>
            <w:gridSpan w:val="4"/>
            <w:tcBorders>
              <w:top w:val="single" w:sz="4" w:space="0" w:color="auto"/>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xml:space="preserve">korekce tvorby fondu </w:t>
            </w:r>
            <w:r w:rsidR="00C11F89">
              <w:rPr>
                <w:rFonts w:ascii="Calibri" w:hAnsi="Calibri" w:cs="Calibri"/>
                <w:color w:val="auto"/>
                <w:sz w:val="24"/>
                <w:szCs w:val="24"/>
              </w:rPr>
              <w:t xml:space="preserve">oprav (dorovnání na tvorbu 1,5 </w:t>
            </w:r>
            <w:r w:rsidRPr="006748C8">
              <w:rPr>
                <w:rFonts w:ascii="Calibri" w:hAnsi="Calibri" w:cs="Calibri"/>
                <w:color w:val="auto"/>
                <w:sz w:val="24"/>
                <w:szCs w:val="24"/>
              </w:rPr>
              <w:t>mil. Kč)</w:t>
            </w: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7 200,00</w:t>
            </w:r>
          </w:p>
        </w:tc>
      </w:tr>
      <w:tr w:rsidR="006748C8" w:rsidRPr="006748C8" w:rsidTr="002C2732">
        <w:trPr>
          <w:trHeight w:val="315"/>
        </w:trPr>
        <w:tc>
          <w:tcPr>
            <w:tcW w:w="5245" w:type="dxa"/>
            <w:gridSpan w:val="3"/>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přeplatky vlastníci</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12 363,00</w:t>
            </w:r>
          </w:p>
        </w:tc>
      </w:tr>
      <w:tr w:rsidR="006748C8" w:rsidRPr="006748C8" w:rsidTr="002C2732">
        <w:trPr>
          <w:trHeight w:val="315"/>
        </w:trPr>
        <w:tc>
          <w:tcPr>
            <w:tcW w:w="5245" w:type="dxa"/>
            <w:gridSpan w:val="3"/>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výnosy z pronájmu nebytových prostor</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328 322,00</w:t>
            </w:r>
          </w:p>
        </w:tc>
      </w:tr>
      <w:tr w:rsidR="006748C8" w:rsidRPr="006748C8" w:rsidTr="002C2732">
        <w:trPr>
          <w:trHeight w:val="315"/>
        </w:trPr>
        <w:tc>
          <w:tcPr>
            <w:tcW w:w="5245" w:type="dxa"/>
            <w:gridSpan w:val="3"/>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zaokrouhlení teplo (účet 324.10)</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-2,69</w:t>
            </w:r>
          </w:p>
        </w:tc>
      </w:tr>
      <w:tr w:rsidR="006748C8" w:rsidRPr="006748C8" w:rsidTr="002C2732">
        <w:trPr>
          <w:trHeight w:val="315"/>
        </w:trPr>
        <w:tc>
          <w:tcPr>
            <w:tcW w:w="5245" w:type="dxa"/>
            <w:gridSpan w:val="3"/>
            <w:tcBorders>
              <w:top w:val="nil"/>
              <w:left w:val="nil"/>
              <w:bottom w:val="nil"/>
              <w:right w:val="nil"/>
            </w:tcBorders>
            <w:shd w:val="clear" w:color="auto" w:fill="auto"/>
            <w:noWrap/>
            <w:vAlign w:val="bottom"/>
            <w:hideMark/>
          </w:tcPr>
          <w:p w:rsidR="006748C8" w:rsidRPr="00C11F89" w:rsidRDefault="006748C8" w:rsidP="00C11F89">
            <w:pPr>
              <w:pStyle w:val="Normlnweb"/>
              <w:spacing w:before="0" w:beforeAutospacing="0" w:after="0" w:afterAutospacing="0"/>
              <w:rPr>
                <w:rFonts w:ascii="Calibri" w:eastAsia="Times New Roman" w:hAnsi="Calibri" w:cs="Calibri"/>
              </w:rPr>
            </w:pPr>
            <w:r w:rsidRPr="00C11F89">
              <w:rPr>
                <w:rFonts w:ascii="Calibri" w:eastAsia="Times New Roman" w:hAnsi="Calibri" w:cs="Calibri"/>
              </w:rPr>
              <w:t>rezervní fond (rozpuštění)</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100 332,00</w:t>
            </w:r>
          </w:p>
        </w:tc>
      </w:tr>
      <w:tr w:rsidR="006748C8" w:rsidRPr="006748C8" w:rsidTr="002C2732">
        <w:trPr>
          <w:trHeight w:val="315"/>
        </w:trPr>
        <w:tc>
          <w:tcPr>
            <w:tcW w:w="5245" w:type="dxa"/>
            <w:gridSpan w:val="3"/>
            <w:tcBorders>
              <w:top w:val="nil"/>
              <w:left w:val="nil"/>
              <w:bottom w:val="single" w:sz="4" w:space="0" w:color="auto"/>
              <w:right w:val="nil"/>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zaokrouhlení vyúčtování služeb (účet 324.)</w:t>
            </w:r>
          </w:p>
        </w:tc>
        <w:tc>
          <w:tcPr>
            <w:tcW w:w="1559" w:type="dxa"/>
            <w:tcBorders>
              <w:top w:val="nil"/>
              <w:left w:val="nil"/>
              <w:bottom w:val="single" w:sz="4" w:space="0" w:color="auto"/>
              <w:right w:val="nil"/>
            </w:tcBorders>
            <w:shd w:val="clear" w:color="auto" w:fill="auto"/>
            <w:noWrap/>
            <w:vAlign w:val="bottom"/>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 </w:t>
            </w:r>
          </w:p>
        </w:tc>
        <w:tc>
          <w:tcPr>
            <w:tcW w:w="1591" w:type="dxa"/>
            <w:tcBorders>
              <w:top w:val="nil"/>
              <w:left w:val="nil"/>
              <w:bottom w:val="single" w:sz="4" w:space="0" w:color="auto"/>
              <w:right w:val="nil"/>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21,78</w:t>
            </w:r>
          </w:p>
        </w:tc>
      </w:tr>
      <w:tr w:rsidR="006748C8" w:rsidRPr="006748C8" w:rsidTr="002C2732">
        <w:trPr>
          <w:trHeight w:val="315"/>
        </w:trPr>
        <w:tc>
          <w:tcPr>
            <w:tcW w:w="5245" w:type="dxa"/>
            <w:gridSpan w:val="3"/>
            <w:tcBorders>
              <w:top w:val="single" w:sz="4" w:space="0" w:color="auto"/>
              <w:left w:val="nil"/>
              <w:bottom w:val="nil"/>
              <w:right w:val="nil"/>
            </w:tcBorders>
            <w:shd w:val="clear" w:color="auto" w:fill="auto"/>
            <w:noWrap/>
            <w:vAlign w:val="bottom"/>
            <w:hideMark/>
          </w:tcPr>
          <w:p w:rsidR="006748C8" w:rsidRPr="006748C8" w:rsidRDefault="006748C8" w:rsidP="00F474F4">
            <w:pPr>
              <w:rPr>
                <w:rFonts w:ascii="Calibri" w:hAnsi="Calibri" w:cs="Calibri"/>
                <w:b/>
                <w:bCs/>
                <w:sz w:val="24"/>
                <w:szCs w:val="24"/>
              </w:rPr>
            </w:pPr>
            <w:r w:rsidRPr="006748C8">
              <w:rPr>
                <w:rFonts w:ascii="Calibri" w:hAnsi="Calibri" w:cs="Calibri"/>
                <w:b/>
                <w:bCs/>
                <w:sz w:val="24"/>
                <w:szCs w:val="24"/>
              </w:rPr>
              <w:t xml:space="preserve">Součet (vrácení </w:t>
            </w:r>
            <w:r w:rsidR="00F474F4">
              <w:rPr>
                <w:rFonts w:ascii="Calibri" w:hAnsi="Calibri" w:cs="Calibri"/>
                <w:b/>
                <w:bCs/>
                <w:sz w:val="24"/>
                <w:szCs w:val="24"/>
              </w:rPr>
              <w:t>vlastníkům</w:t>
            </w:r>
            <w:r w:rsidRPr="006748C8">
              <w:rPr>
                <w:rFonts w:ascii="Calibri" w:hAnsi="Calibri" w:cs="Calibri"/>
                <w:b/>
                <w:bCs/>
                <w:sz w:val="24"/>
                <w:szCs w:val="24"/>
              </w:rPr>
              <w:t>)</w:t>
            </w: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b/>
                <w:bCs/>
                <w:sz w:val="24"/>
                <w:szCs w:val="24"/>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b/>
                <w:bCs/>
                <w:sz w:val="24"/>
                <w:szCs w:val="24"/>
              </w:rPr>
            </w:pPr>
            <w:r w:rsidRPr="006748C8">
              <w:rPr>
                <w:rFonts w:ascii="Calibri" w:hAnsi="Calibri" w:cs="Calibri"/>
                <w:b/>
                <w:bCs/>
                <w:sz w:val="24"/>
                <w:szCs w:val="24"/>
              </w:rPr>
              <w:t>846 469,00</w:t>
            </w:r>
          </w:p>
        </w:tc>
      </w:tr>
      <w:tr w:rsidR="006748C8" w:rsidRPr="006748C8" w:rsidTr="002C2732">
        <w:trPr>
          <w:trHeight w:val="315"/>
        </w:trPr>
        <w:tc>
          <w:tcPr>
            <w:tcW w:w="1418" w:type="dxa"/>
            <w:tcBorders>
              <w:top w:val="nil"/>
              <w:left w:val="nil"/>
              <w:bottom w:val="nil"/>
              <w:right w:val="nil"/>
            </w:tcBorders>
            <w:shd w:val="clear" w:color="auto" w:fill="auto"/>
            <w:noWrap/>
            <w:vAlign w:val="bottom"/>
            <w:hideMark/>
          </w:tcPr>
          <w:p w:rsidR="006748C8" w:rsidRPr="006748C8" w:rsidRDefault="006748C8" w:rsidP="006748C8">
            <w:pPr>
              <w:jc w:val="right"/>
              <w:rPr>
                <w:rFonts w:ascii="Calibri" w:hAnsi="Calibri" w:cs="Calibri"/>
                <w:b/>
                <w:bCs/>
                <w:sz w:val="24"/>
                <w:szCs w:val="24"/>
              </w:rPr>
            </w:pPr>
          </w:p>
        </w:tc>
        <w:tc>
          <w:tcPr>
            <w:tcW w:w="2268"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r>
      <w:tr w:rsidR="006748C8" w:rsidRPr="006748C8" w:rsidTr="002C2732">
        <w:trPr>
          <w:trHeight w:val="315"/>
        </w:trPr>
        <w:tc>
          <w:tcPr>
            <w:tcW w:w="8395" w:type="dxa"/>
            <w:gridSpan w:val="5"/>
            <w:tcBorders>
              <w:top w:val="nil"/>
              <w:left w:val="nil"/>
              <w:bottom w:val="nil"/>
              <w:right w:val="nil"/>
            </w:tcBorders>
            <w:shd w:val="clear" w:color="auto" w:fill="auto"/>
            <w:vAlign w:val="bottom"/>
            <w:hideMark/>
          </w:tcPr>
          <w:p w:rsidR="006748C8" w:rsidRPr="006748C8" w:rsidRDefault="006748C8" w:rsidP="00F474F4">
            <w:pPr>
              <w:jc w:val="both"/>
              <w:rPr>
                <w:rFonts w:ascii="Calibri" w:hAnsi="Calibri" w:cs="Calibri"/>
                <w:sz w:val="24"/>
                <w:szCs w:val="24"/>
              </w:rPr>
            </w:pPr>
            <w:r w:rsidRPr="006748C8">
              <w:rPr>
                <w:rFonts w:ascii="Calibri" w:hAnsi="Calibri" w:cs="Calibri"/>
                <w:sz w:val="24"/>
                <w:szCs w:val="24"/>
              </w:rPr>
              <w:t>Vyúčtování záloh a nákladů služeb r. 2022 bylo správcem vypracováno okamžitě po obdržení posledních faktur r. 202</w:t>
            </w:r>
            <w:r w:rsidR="00F474F4">
              <w:rPr>
                <w:rFonts w:ascii="Calibri" w:hAnsi="Calibri" w:cs="Calibri"/>
                <w:sz w:val="24"/>
                <w:szCs w:val="24"/>
              </w:rPr>
              <w:t>2</w:t>
            </w:r>
            <w:r w:rsidRPr="006748C8">
              <w:rPr>
                <w:rFonts w:ascii="Calibri" w:hAnsi="Calibri" w:cs="Calibri"/>
                <w:sz w:val="24"/>
                <w:szCs w:val="24"/>
              </w:rPr>
              <w:t xml:space="preserve"> (v březnu 2023) a následně bylo zkontrolováno a odsouhlaseno ekonomem SVJ a členem kontrolní komise SVJ. V dubnu 2023 bylo vyúčtování rozdáno všem členům SVJ do schránek. Připomínky vlastníků vznesené k rozúčtování nákladů na vodné</w:t>
            </w:r>
            <w:r w:rsidR="002C2732">
              <w:rPr>
                <w:rFonts w:ascii="Calibri" w:hAnsi="Calibri" w:cs="Calibri"/>
                <w:sz w:val="24"/>
                <w:szCs w:val="24"/>
              </w:rPr>
              <w:t xml:space="preserve">, stočné a na vyúčtování tepla </w:t>
            </w:r>
            <w:r w:rsidRPr="006748C8">
              <w:rPr>
                <w:rFonts w:ascii="Calibri" w:hAnsi="Calibri" w:cs="Calibri"/>
                <w:sz w:val="24"/>
                <w:szCs w:val="24"/>
              </w:rPr>
              <w:t xml:space="preserve">byly všechny vyřízeny. </w:t>
            </w:r>
          </w:p>
        </w:tc>
      </w:tr>
      <w:tr w:rsidR="006748C8" w:rsidRPr="006748C8" w:rsidTr="002C2732">
        <w:trPr>
          <w:trHeight w:val="315"/>
        </w:trPr>
        <w:tc>
          <w:tcPr>
            <w:tcW w:w="1418"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sz w:val="24"/>
                <w:szCs w:val="24"/>
              </w:rPr>
            </w:pPr>
          </w:p>
        </w:tc>
        <w:tc>
          <w:tcPr>
            <w:tcW w:w="2268" w:type="dxa"/>
            <w:tcBorders>
              <w:top w:val="nil"/>
              <w:left w:val="nil"/>
              <w:bottom w:val="nil"/>
              <w:right w:val="nil"/>
            </w:tcBorders>
            <w:shd w:val="clear" w:color="auto" w:fill="auto"/>
            <w:noWrap/>
            <w:vAlign w:val="bottom"/>
            <w:hideMark/>
          </w:tcPr>
          <w:p w:rsidR="006748C8" w:rsidRPr="006748C8" w:rsidRDefault="006748C8" w:rsidP="002C2732">
            <w:pPr>
              <w:jc w:val="both"/>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59"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c>
          <w:tcPr>
            <w:tcW w:w="1591" w:type="dxa"/>
            <w:tcBorders>
              <w:top w:val="nil"/>
              <w:left w:val="nil"/>
              <w:bottom w:val="nil"/>
              <w:right w:val="nil"/>
            </w:tcBorders>
            <w:shd w:val="clear" w:color="auto" w:fill="auto"/>
            <w:noWrap/>
            <w:vAlign w:val="bottom"/>
            <w:hideMark/>
          </w:tcPr>
          <w:p w:rsidR="006748C8" w:rsidRPr="006748C8" w:rsidRDefault="006748C8" w:rsidP="006748C8">
            <w:pPr>
              <w:rPr>
                <w:color w:val="auto"/>
              </w:rPr>
            </w:pPr>
          </w:p>
        </w:tc>
      </w:tr>
      <w:tr w:rsidR="006748C8" w:rsidRPr="006748C8" w:rsidTr="002C2732">
        <w:trPr>
          <w:trHeight w:val="464"/>
        </w:trPr>
        <w:tc>
          <w:tcPr>
            <w:tcW w:w="8395" w:type="dxa"/>
            <w:gridSpan w:val="5"/>
            <w:vMerge w:val="restart"/>
            <w:tcBorders>
              <w:top w:val="nil"/>
              <w:left w:val="nil"/>
              <w:bottom w:val="nil"/>
              <w:right w:val="nil"/>
            </w:tcBorders>
            <w:vAlign w:val="center"/>
            <w:hideMark/>
          </w:tcPr>
          <w:p w:rsidR="006748C8" w:rsidRPr="006748C8" w:rsidRDefault="006748C8" w:rsidP="002C2732">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2C2732">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2C2732">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2C2732">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r w:rsidR="006748C8" w:rsidRPr="006748C8" w:rsidTr="002C2732">
        <w:trPr>
          <w:trHeight w:val="464"/>
        </w:trPr>
        <w:tc>
          <w:tcPr>
            <w:tcW w:w="8395" w:type="dxa"/>
            <w:gridSpan w:val="5"/>
            <w:vMerge/>
            <w:tcBorders>
              <w:top w:val="nil"/>
              <w:left w:val="nil"/>
              <w:bottom w:val="nil"/>
              <w:right w:val="nil"/>
            </w:tcBorders>
            <w:vAlign w:val="center"/>
            <w:hideMark/>
          </w:tcPr>
          <w:p w:rsidR="006748C8" w:rsidRPr="006748C8" w:rsidRDefault="006748C8" w:rsidP="006748C8">
            <w:pPr>
              <w:rPr>
                <w:rFonts w:ascii="Calibri" w:hAnsi="Calibri" w:cs="Calibri"/>
                <w:sz w:val="24"/>
                <w:szCs w:val="24"/>
              </w:rPr>
            </w:pPr>
          </w:p>
        </w:tc>
      </w:tr>
    </w:tbl>
    <w:p w:rsidR="006748C8" w:rsidRDefault="006748C8" w:rsidP="00FB2EF6">
      <w:pPr>
        <w:pStyle w:val="Normln1"/>
        <w:ind w:right="-426"/>
        <w:rPr>
          <w:rFonts w:asciiTheme="minorHAnsi" w:eastAsia="Calibri" w:hAnsiTheme="minorHAnsi" w:cstheme="minorHAnsi"/>
          <w:color w:val="auto"/>
          <w:sz w:val="24"/>
          <w:szCs w:val="24"/>
        </w:rPr>
      </w:pPr>
    </w:p>
    <w:tbl>
      <w:tblPr>
        <w:tblW w:w="8418" w:type="dxa"/>
        <w:tblInd w:w="137" w:type="dxa"/>
        <w:tblCellMar>
          <w:left w:w="70" w:type="dxa"/>
          <w:right w:w="70" w:type="dxa"/>
        </w:tblCellMar>
        <w:tblLook w:val="04A0" w:firstRow="1" w:lastRow="0" w:firstColumn="1" w:lastColumn="0" w:noHBand="0" w:noVBand="1"/>
      </w:tblPr>
      <w:tblGrid>
        <w:gridCol w:w="6058"/>
        <w:gridCol w:w="2360"/>
      </w:tblGrid>
      <w:tr w:rsidR="006748C8" w:rsidRPr="006748C8" w:rsidTr="002C2732">
        <w:trPr>
          <w:trHeight w:val="402"/>
        </w:trPr>
        <w:tc>
          <w:tcPr>
            <w:tcW w:w="6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8C8" w:rsidRPr="00C11F89" w:rsidRDefault="006748C8" w:rsidP="00C11F89">
            <w:pPr>
              <w:pStyle w:val="Nadpis5"/>
            </w:pPr>
            <w:r w:rsidRPr="00C11F89">
              <w:t>Rozpis fakturovaných nákladů FO za 1.</w:t>
            </w:r>
            <w:r w:rsidR="0023750A">
              <w:t xml:space="preserve"> </w:t>
            </w:r>
            <w:r w:rsidRPr="00C11F89">
              <w:t>1</w:t>
            </w:r>
            <w:r w:rsidR="0023750A">
              <w:t xml:space="preserve"> </w:t>
            </w:r>
            <w:r w:rsidRPr="00C11F89">
              <w:t>.- 30.</w:t>
            </w:r>
            <w:r w:rsidR="0023750A">
              <w:t xml:space="preserve"> </w:t>
            </w:r>
            <w:r w:rsidRPr="00C11F89">
              <w:t>9.</w:t>
            </w:r>
            <w:r w:rsidR="0023750A">
              <w:t xml:space="preserve"> </w:t>
            </w:r>
            <w:r w:rsidRPr="00C11F89">
              <w:t>2023</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rsidR="006748C8" w:rsidRPr="00C11F89" w:rsidRDefault="006748C8" w:rsidP="00C11F89">
            <w:pPr>
              <w:pStyle w:val="Nadpis6"/>
            </w:pPr>
            <w:r w:rsidRPr="00C11F89">
              <w:t>Kč</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servisní činnost</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11 979,00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C11F89" w:rsidP="006748C8">
            <w:pPr>
              <w:rPr>
                <w:rFonts w:ascii="Calibri" w:hAnsi="Calibri" w:cs="Calibri"/>
                <w:sz w:val="24"/>
                <w:szCs w:val="24"/>
              </w:rPr>
            </w:pPr>
            <w:r>
              <w:rPr>
                <w:rFonts w:ascii="Calibri" w:hAnsi="Calibri" w:cs="Calibri"/>
                <w:sz w:val="24"/>
                <w:szCs w:val="24"/>
              </w:rPr>
              <w:t>oprava výtahů, výměna stykač</w:t>
            </w:r>
            <w:r w:rsidR="006748C8" w:rsidRPr="006748C8">
              <w:rPr>
                <w:rFonts w:ascii="Calibri" w:hAnsi="Calibri" w:cs="Calibri"/>
                <w:sz w:val="24"/>
                <w:szCs w:val="24"/>
              </w:rPr>
              <w:t>ové karty</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41 223,84</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2A0447" w:rsidP="006748C8">
            <w:pPr>
              <w:rPr>
                <w:rFonts w:ascii="Calibri" w:hAnsi="Calibri" w:cs="Calibri"/>
                <w:sz w:val="24"/>
                <w:szCs w:val="24"/>
              </w:rPr>
            </w:pPr>
            <w:r>
              <w:rPr>
                <w:rFonts w:ascii="Calibri" w:hAnsi="Calibri" w:cs="Calibri"/>
                <w:sz w:val="24"/>
                <w:szCs w:val="24"/>
              </w:rPr>
              <w:t>odchyt</w:t>
            </w:r>
            <w:r w:rsidR="006748C8" w:rsidRPr="006748C8">
              <w:rPr>
                <w:rFonts w:ascii="Calibri" w:hAnsi="Calibri" w:cs="Calibri"/>
                <w:sz w:val="24"/>
                <w:szCs w:val="24"/>
              </w:rPr>
              <w:t xml:space="preserve"> holubů</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19 965,00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projektová dokumentace na výměnu rozvodu kolektor</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77 440,00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2A0447" w:rsidP="006748C8">
            <w:pPr>
              <w:rPr>
                <w:rFonts w:ascii="Calibri" w:hAnsi="Calibri" w:cs="Calibri"/>
                <w:sz w:val="24"/>
                <w:szCs w:val="24"/>
              </w:rPr>
            </w:pPr>
            <w:r>
              <w:rPr>
                <w:rFonts w:ascii="Calibri" w:hAnsi="Calibri" w:cs="Calibri"/>
                <w:sz w:val="24"/>
                <w:szCs w:val="24"/>
              </w:rPr>
              <w:t>kryty chodbových světel</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9 472,00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odvod zálohové daně - staré roky</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3 175,00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hideMark/>
          </w:tcPr>
          <w:p w:rsidR="006748C8" w:rsidRPr="006748C8" w:rsidRDefault="006748C8" w:rsidP="006748C8">
            <w:pPr>
              <w:rPr>
                <w:rFonts w:ascii="Calibri" w:hAnsi="Calibri" w:cs="Calibri"/>
                <w:sz w:val="24"/>
                <w:szCs w:val="24"/>
              </w:rPr>
            </w:pPr>
            <w:r w:rsidRPr="006748C8">
              <w:rPr>
                <w:rFonts w:ascii="Calibri" w:hAnsi="Calibri" w:cs="Calibri"/>
                <w:sz w:val="24"/>
                <w:szCs w:val="24"/>
              </w:rPr>
              <w:t>vratka FO vyúčtování</w:t>
            </w:r>
          </w:p>
        </w:tc>
        <w:tc>
          <w:tcPr>
            <w:tcW w:w="2360" w:type="dxa"/>
            <w:tcBorders>
              <w:top w:val="nil"/>
              <w:left w:val="nil"/>
              <w:bottom w:val="single" w:sz="4" w:space="0" w:color="auto"/>
              <w:right w:val="single" w:sz="4" w:space="0" w:color="auto"/>
            </w:tcBorders>
            <w:shd w:val="clear" w:color="auto" w:fill="auto"/>
            <w:hideMark/>
          </w:tcPr>
          <w:p w:rsidR="006748C8" w:rsidRPr="006748C8" w:rsidRDefault="006748C8" w:rsidP="006748C8">
            <w:pPr>
              <w:jc w:val="right"/>
              <w:rPr>
                <w:rFonts w:ascii="Calibri" w:hAnsi="Calibri" w:cs="Calibri"/>
                <w:sz w:val="24"/>
                <w:szCs w:val="24"/>
              </w:rPr>
            </w:pPr>
            <w:r w:rsidRPr="006748C8">
              <w:rPr>
                <w:rFonts w:ascii="Calibri" w:hAnsi="Calibri" w:cs="Calibri"/>
                <w:sz w:val="24"/>
                <w:szCs w:val="24"/>
              </w:rPr>
              <w:t xml:space="preserve">  7 200,00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b/>
                <w:bCs/>
                <w:color w:val="auto"/>
                <w:sz w:val="24"/>
                <w:szCs w:val="24"/>
              </w:rPr>
            </w:pPr>
            <w:r w:rsidRPr="006748C8">
              <w:rPr>
                <w:rFonts w:ascii="Calibri" w:hAnsi="Calibri" w:cs="Calibri"/>
                <w:b/>
                <w:bCs/>
                <w:color w:val="auto"/>
                <w:sz w:val="24"/>
                <w:szCs w:val="24"/>
              </w:rPr>
              <w:t>Celkem</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b/>
                <w:bCs/>
                <w:color w:val="auto"/>
                <w:sz w:val="24"/>
                <w:szCs w:val="24"/>
              </w:rPr>
            </w:pPr>
            <w:r w:rsidRPr="006748C8">
              <w:rPr>
                <w:rFonts w:ascii="Calibri" w:hAnsi="Calibri" w:cs="Calibri"/>
                <w:b/>
                <w:bCs/>
                <w:color w:val="auto"/>
                <w:sz w:val="24"/>
                <w:szCs w:val="24"/>
              </w:rPr>
              <w:t xml:space="preserve">  170 454,84</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73374A" w:rsidRDefault="006748C8" w:rsidP="006748C8">
            <w:pPr>
              <w:rPr>
                <w:rFonts w:ascii="Calibri" w:hAnsi="Calibri" w:cs="Calibri"/>
                <w:b/>
                <w:color w:val="auto"/>
                <w:sz w:val="24"/>
                <w:szCs w:val="24"/>
              </w:rPr>
            </w:pPr>
            <w:r w:rsidRPr="0073374A">
              <w:rPr>
                <w:rFonts w:ascii="Calibri" w:hAnsi="Calibri" w:cs="Calibri"/>
                <w:b/>
                <w:color w:val="auto"/>
                <w:sz w:val="24"/>
                <w:szCs w:val="24"/>
              </w:rPr>
              <w:t>Předpokládaná fakturace nákladů do konce r. 2023 (cca Kč)</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9737E1" w:rsidP="006748C8">
            <w:pPr>
              <w:rPr>
                <w:rFonts w:ascii="Calibri" w:hAnsi="Calibri" w:cs="Calibri"/>
                <w:color w:val="auto"/>
                <w:sz w:val="24"/>
                <w:szCs w:val="24"/>
              </w:rPr>
            </w:pPr>
            <w:r>
              <w:rPr>
                <w:rFonts w:ascii="Calibri" w:hAnsi="Calibri" w:cs="Calibri"/>
                <w:color w:val="auto"/>
                <w:sz w:val="24"/>
                <w:szCs w:val="24"/>
              </w:rPr>
              <w:t>oprava výtahů</w:t>
            </w:r>
            <w:r w:rsidR="006748C8" w:rsidRPr="006748C8">
              <w:rPr>
                <w:rFonts w:ascii="Calibri" w:hAnsi="Calibri" w:cs="Calibri"/>
                <w:color w:val="auto"/>
                <w:sz w:val="24"/>
                <w:szCs w:val="24"/>
              </w:rPr>
              <w:t xml:space="preserve"> po odborné zkoušce</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100 000,00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výměna hlavních plynových uzávěrů</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414 393,30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výměna plynových kohoutů (bude vyúčtováno vlastníkům)</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233 146,00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oprava regulačního ventilu na topení (havárie 1206)</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100 000,00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C11F89" w:rsidP="006748C8">
            <w:pPr>
              <w:rPr>
                <w:rFonts w:ascii="Calibri" w:hAnsi="Calibri" w:cs="Calibri"/>
                <w:color w:val="auto"/>
                <w:sz w:val="24"/>
                <w:szCs w:val="24"/>
              </w:rPr>
            </w:pPr>
            <w:r>
              <w:rPr>
                <w:rFonts w:ascii="Calibri" w:hAnsi="Calibri" w:cs="Calibri"/>
                <w:color w:val="auto"/>
                <w:sz w:val="24"/>
                <w:szCs w:val="24"/>
              </w:rPr>
              <w:t>havárie oprava ležaté</w:t>
            </w:r>
            <w:r w:rsidR="006748C8" w:rsidRPr="006748C8">
              <w:rPr>
                <w:rFonts w:ascii="Calibri" w:hAnsi="Calibri" w:cs="Calibri"/>
                <w:color w:val="auto"/>
                <w:sz w:val="24"/>
                <w:szCs w:val="24"/>
              </w:rPr>
              <w:t>ho potrubí 1208-1210</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6 000,00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výměna skříněk hlavních plynových uzávěrů</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10 000,00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ovládání dveří</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4 603,00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center"/>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výměna vstupních portálů</w:t>
            </w:r>
          </w:p>
        </w:tc>
        <w:tc>
          <w:tcPr>
            <w:tcW w:w="2360" w:type="dxa"/>
            <w:tcBorders>
              <w:top w:val="nil"/>
              <w:left w:val="nil"/>
              <w:bottom w:val="single" w:sz="4" w:space="0" w:color="auto"/>
              <w:right w:val="single" w:sz="4" w:space="0" w:color="auto"/>
            </w:tcBorders>
            <w:shd w:val="clear" w:color="auto" w:fill="auto"/>
            <w:noWrap/>
            <w:vAlign w:val="center"/>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1 324 981,85</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b/>
                <w:bCs/>
                <w:color w:val="auto"/>
                <w:sz w:val="24"/>
                <w:szCs w:val="24"/>
              </w:rPr>
            </w:pPr>
            <w:r w:rsidRPr="006748C8">
              <w:rPr>
                <w:rFonts w:ascii="Calibri" w:hAnsi="Calibri" w:cs="Calibri"/>
                <w:b/>
                <w:bCs/>
                <w:color w:val="auto"/>
                <w:sz w:val="24"/>
                <w:szCs w:val="24"/>
              </w:rPr>
              <w:t>Celkem</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b/>
                <w:bCs/>
                <w:color w:val="auto"/>
                <w:sz w:val="24"/>
                <w:szCs w:val="24"/>
              </w:rPr>
            </w:pPr>
            <w:r w:rsidRPr="006748C8">
              <w:rPr>
                <w:rFonts w:ascii="Calibri" w:hAnsi="Calibri" w:cs="Calibri"/>
                <w:b/>
                <w:bCs/>
                <w:color w:val="auto"/>
                <w:sz w:val="24"/>
                <w:szCs w:val="24"/>
              </w:rPr>
              <w:t>2 193 124,15</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 </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Zůstatek FO k 30.</w:t>
            </w:r>
            <w:r w:rsidR="0023750A">
              <w:rPr>
                <w:rFonts w:ascii="Calibri" w:hAnsi="Calibri" w:cs="Calibri"/>
                <w:color w:val="auto"/>
                <w:sz w:val="24"/>
                <w:szCs w:val="24"/>
              </w:rPr>
              <w:t xml:space="preserve"> </w:t>
            </w:r>
            <w:r w:rsidRPr="006748C8">
              <w:rPr>
                <w:rFonts w:ascii="Calibri" w:hAnsi="Calibri" w:cs="Calibri"/>
                <w:color w:val="auto"/>
                <w:sz w:val="24"/>
                <w:szCs w:val="24"/>
              </w:rPr>
              <w:t>9.</w:t>
            </w:r>
            <w:r w:rsidR="0023750A">
              <w:rPr>
                <w:rFonts w:ascii="Calibri" w:hAnsi="Calibri" w:cs="Calibri"/>
                <w:color w:val="auto"/>
                <w:sz w:val="24"/>
                <w:szCs w:val="24"/>
              </w:rPr>
              <w:t xml:space="preserve"> </w:t>
            </w:r>
            <w:r w:rsidRPr="006748C8">
              <w:rPr>
                <w:rFonts w:ascii="Calibri" w:hAnsi="Calibri" w:cs="Calibri"/>
                <w:color w:val="auto"/>
                <w:sz w:val="24"/>
                <w:szCs w:val="24"/>
              </w:rPr>
              <w:t>2023</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5 464 692,80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C11F89" w:rsidP="006748C8">
            <w:pPr>
              <w:rPr>
                <w:rFonts w:ascii="Calibri" w:hAnsi="Calibri" w:cs="Calibri"/>
                <w:color w:val="auto"/>
                <w:sz w:val="24"/>
                <w:szCs w:val="24"/>
              </w:rPr>
            </w:pPr>
            <w:r>
              <w:rPr>
                <w:rFonts w:ascii="Calibri" w:hAnsi="Calibri" w:cs="Calibri"/>
                <w:color w:val="auto"/>
                <w:sz w:val="24"/>
                <w:szCs w:val="24"/>
              </w:rPr>
              <w:t xml:space="preserve">Zálohy za </w:t>
            </w:r>
            <w:r w:rsidR="006748C8" w:rsidRPr="006748C8">
              <w:rPr>
                <w:rFonts w:ascii="Calibri" w:hAnsi="Calibri" w:cs="Calibri"/>
                <w:color w:val="auto"/>
                <w:sz w:val="24"/>
                <w:szCs w:val="24"/>
              </w:rPr>
              <w:t>10. - 12. 2023</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708 450,00</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color w:val="auto"/>
                <w:sz w:val="24"/>
                <w:szCs w:val="24"/>
              </w:rPr>
            </w:pPr>
            <w:r w:rsidRPr="006748C8">
              <w:rPr>
                <w:rFonts w:ascii="Calibri" w:hAnsi="Calibri" w:cs="Calibri"/>
                <w:color w:val="auto"/>
                <w:sz w:val="24"/>
                <w:szCs w:val="24"/>
              </w:rPr>
              <w:t>Předpokládané náklady do konce r. 2023</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color w:val="auto"/>
                <w:sz w:val="24"/>
                <w:szCs w:val="24"/>
              </w:rPr>
            </w:pPr>
            <w:r w:rsidRPr="006748C8">
              <w:rPr>
                <w:rFonts w:ascii="Calibri" w:hAnsi="Calibri" w:cs="Calibri"/>
                <w:color w:val="auto"/>
                <w:sz w:val="24"/>
                <w:szCs w:val="24"/>
              </w:rPr>
              <w:t>-2 193 124,15</w:t>
            </w:r>
          </w:p>
        </w:tc>
      </w:tr>
      <w:tr w:rsidR="006748C8" w:rsidRPr="006748C8" w:rsidTr="002C2732">
        <w:trPr>
          <w:trHeight w:val="402"/>
        </w:trPr>
        <w:tc>
          <w:tcPr>
            <w:tcW w:w="6058" w:type="dxa"/>
            <w:tcBorders>
              <w:top w:val="nil"/>
              <w:left w:val="single" w:sz="4" w:space="0" w:color="auto"/>
              <w:bottom w:val="single" w:sz="4" w:space="0" w:color="auto"/>
              <w:right w:val="single" w:sz="4" w:space="0" w:color="auto"/>
            </w:tcBorders>
            <w:shd w:val="clear" w:color="auto" w:fill="auto"/>
            <w:noWrap/>
            <w:vAlign w:val="bottom"/>
            <w:hideMark/>
          </w:tcPr>
          <w:p w:rsidR="006748C8" w:rsidRPr="006748C8" w:rsidRDefault="006748C8" w:rsidP="006748C8">
            <w:pPr>
              <w:rPr>
                <w:rFonts w:ascii="Calibri" w:hAnsi="Calibri" w:cs="Calibri"/>
                <w:b/>
                <w:bCs/>
                <w:color w:val="auto"/>
                <w:sz w:val="24"/>
                <w:szCs w:val="24"/>
              </w:rPr>
            </w:pPr>
            <w:r w:rsidRPr="006748C8">
              <w:rPr>
                <w:rFonts w:ascii="Calibri" w:hAnsi="Calibri" w:cs="Calibri"/>
                <w:b/>
                <w:bCs/>
                <w:color w:val="auto"/>
                <w:sz w:val="24"/>
                <w:szCs w:val="24"/>
              </w:rPr>
              <w:t>Předpokládaný převod zůstatku FO 2023 do FO 2024</w:t>
            </w:r>
          </w:p>
        </w:tc>
        <w:tc>
          <w:tcPr>
            <w:tcW w:w="2360" w:type="dxa"/>
            <w:tcBorders>
              <w:top w:val="nil"/>
              <w:left w:val="nil"/>
              <w:bottom w:val="single" w:sz="4" w:space="0" w:color="auto"/>
              <w:right w:val="single" w:sz="4" w:space="0" w:color="auto"/>
            </w:tcBorders>
            <w:shd w:val="clear" w:color="auto" w:fill="auto"/>
            <w:noWrap/>
            <w:vAlign w:val="bottom"/>
            <w:hideMark/>
          </w:tcPr>
          <w:p w:rsidR="006748C8" w:rsidRPr="006748C8" w:rsidRDefault="006748C8" w:rsidP="006748C8">
            <w:pPr>
              <w:jc w:val="right"/>
              <w:rPr>
                <w:rFonts w:ascii="Calibri" w:hAnsi="Calibri" w:cs="Calibri"/>
                <w:b/>
                <w:bCs/>
                <w:color w:val="auto"/>
                <w:sz w:val="24"/>
                <w:szCs w:val="24"/>
              </w:rPr>
            </w:pPr>
            <w:r w:rsidRPr="006748C8">
              <w:rPr>
                <w:rFonts w:ascii="Calibri" w:hAnsi="Calibri" w:cs="Calibri"/>
                <w:b/>
                <w:bCs/>
                <w:color w:val="auto"/>
                <w:sz w:val="24"/>
                <w:szCs w:val="24"/>
              </w:rPr>
              <w:t>3 980 018,65</w:t>
            </w:r>
          </w:p>
        </w:tc>
      </w:tr>
      <w:tr w:rsidR="006748C8" w:rsidRPr="006748C8" w:rsidTr="002C2732">
        <w:trPr>
          <w:trHeight w:val="402"/>
        </w:trPr>
        <w:tc>
          <w:tcPr>
            <w:tcW w:w="6058" w:type="dxa"/>
            <w:tcBorders>
              <w:top w:val="nil"/>
              <w:left w:val="nil"/>
              <w:bottom w:val="nil"/>
              <w:right w:val="nil"/>
            </w:tcBorders>
            <w:shd w:val="clear" w:color="auto" w:fill="auto"/>
            <w:noWrap/>
            <w:vAlign w:val="bottom"/>
            <w:hideMark/>
          </w:tcPr>
          <w:p w:rsidR="006748C8" w:rsidRPr="002C2732" w:rsidRDefault="006748C8" w:rsidP="002C2732">
            <w:pPr>
              <w:pStyle w:val="Normlnweb"/>
              <w:spacing w:before="0" w:beforeAutospacing="0" w:after="0" w:afterAutospacing="0"/>
              <w:rPr>
                <w:rFonts w:ascii="Calibri" w:eastAsia="Times New Roman" w:hAnsi="Calibri" w:cs="Calibri"/>
              </w:rPr>
            </w:pPr>
            <w:r w:rsidRPr="002C2732">
              <w:rPr>
                <w:rFonts w:ascii="Calibri" w:eastAsia="Times New Roman" w:hAnsi="Calibri" w:cs="Calibri"/>
              </w:rPr>
              <w:t>Tato částka se převádí do FO roku 2024.</w:t>
            </w:r>
          </w:p>
        </w:tc>
        <w:tc>
          <w:tcPr>
            <w:tcW w:w="2360" w:type="dxa"/>
            <w:tcBorders>
              <w:top w:val="nil"/>
              <w:left w:val="nil"/>
              <w:bottom w:val="nil"/>
              <w:right w:val="nil"/>
            </w:tcBorders>
            <w:shd w:val="clear" w:color="auto" w:fill="auto"/>
            <w:noWrap/>
            <w:vAlign w:val="bottom"/>
            <w:hideMark/>
          </w:tcPr>
          <w:p w:rsidR="006748C8" w:rsidRPr="006748C8" w:rsidRDefault="006748C8" w:rsidP="006748C8">
            <w:pPr>
              <w:rPr>
                <w:rFonts w:ascii="Calibri" w:hAnsi="Calibri" w:cs="Calibri"/>
                <w:color w:val="auto"/>
                <w:sz w:val="24"/>
                <w:szCs w:val="24"/>
              </w:rPr>
            </w:pPr>
          </w:p>
        </w:tc>
      </w:tr>
    </w:tbl>
    <w:p w:rsidR="006748C8" w:rsidRPr="00B86A59" w:rsidRDefault="006748C8" w:rsidP="00FB2EF6">
      <w:pPr>
        <w:pStyle w:val="Normln1"/>
        <w:ind w:right="-426"/>
        <w:rPr>
          <w:rFonts w:asciiTheme="minorHAnsi" w:eastAsia="Calibri" w:hAnsiTheme="minorHAnsi" w:cstheme="minorHAnsi"/>
          <w:color w:val="auto"/>
          <w:sz w:val="24"/>
          <w:szCs w:val="24"/>
        </w:rPr>
      </w:pPr>
    </w:p>
    <w:p w:rsidR="000C6CB9" w:rsidRPr="00B86A59" w:rsidRDefault="000C6CB9" w:rsidP="00FB2EF6">
      <w:pPr>
        <w:pStyle w:val="Normln1"/>
        <w:ind w:right="-426"/>
        <w:rPr>
          <w:rFonts w:asciiTheme="minorHAnsi" w:eastAsia="Calibri" w:hAnsiTheme="minorHAnsi" w:cstheme="minorHAnsi"/>
          <w:color w:val="auto"/>
          <w:sz w:val="24"/>
          <w:szCs w:val="24"/>
        </w:rPr>
      </w:pPr>
    </w:p>
    <w:p w:rsidR="000C6CB9" w:rsidRDefault="000C6CB9" w:rsidP="00FB2EF6">
      <w:pPr>
        <w:pStyle w:val="Normln1"/>
        <w:ind w:right="-426"/>
        <w:rPr>
          <w:rFonts w:asciiTheme="minorHAnsi" w:eastAsia="Calibri" w:hAnsiTheme="minorHAnsi" w:cstheme="minorHAnsi"/>
          <w:color w:val="auto"/>
          <w:sz w:val="24"/>
          <w:szCs w:val="24"/>
        </w:rPr>
      </w:pPr>
    </w:p>
    <w:p w:rsidR="0073374A" w:rsidRDefault="0073374A" w:rsidP="00FB2EF6">
      <w:pPr>
        <w:pStyle w:val="Normln1"/>
        <w:ind w:right="-426"/>
        <w:rPr>
          <w:rFonts w:asciiTheme="minorHAnsi" w:eastAsia="Calibri" w:hAnsiTheme="minorHAnsi" w:cstheme="minorHAnsi"/>
          <w:color w:val="auto"/>
          <w:sz w:val="24"/>
          <w:szCs w:val="24"/>
        </w:rPr>
      </w:pPr>
    </w:p>
    <w:p w:rsidR="0073374A" w:rsidRDefault="0073374A" w:rsidP="00FB2EF6">
      <w:pPr>
        <w:pStyle w:val="Normln1"/>
        <w:ind w:right="-426"/>
        <w:rPr>
          <w:rFonts w:asciiTheme="minorHAnsi" w:eastAsia="Calibri" w:hAnsiTheme="minorHAnsi" w:cstheme="minorHAnsi"/>
          <w:color w:val="auto"/>
          <w:sz w:val="24"/>
          <w:szCs w:val="24"/>
        </w:rPr>
      </w:pPr>
    </w:p>
    <w:p w:rsidR="0073374A" w:rsidRDefault="0073374A" w:rsidP="00FB2EF6">
      <w:pPr>
        <w:pStyle w:val="Normln1"/>
        <w:ind w:right="-426"/>
        <w:rPr>
          <w:rFonts w:asciiTheme="minorHAnsi" w:eastAsia="Calibri" w:hAnsiTheme="minorHAnsi" w:cstheme="minorHAnsi"/>
          <w:color w:val="auto"/>
          <w:sz w:val="24"/>
          <w:szCs w:val="24"/>
        </w:rPr>
      </w:pPr>
    </w:p>
    <w:p w:rsidR="0073374A" w:rsidRPr="00B86A59" w:rsidRDefault="0073374A" w:rsidP="00FB2EF6">
      <w:pPr>
        <w:pStyle w:val="Normln1"/>
        <w:ind w:right="-426"/>
        <w:rPr>
          <w:rFonts w:asciiTheme="minorHAnsi" w:eastAsia="Calibri" w:hAnsiTheme="minorHAnsi" w:cstheme="minorHAnsi"/>
          <w:color w:val="auto"/>
          <w:sz w:val="24"/>
          <w:szCs w:val="24"/>
        </w:rPr>
      </w:pPr>
    </w:p>
    <w:p w:rsidR="000C6CB9" w:rsidRPr="00B86A59" w:rsidRDefault="000C6CB9" w:rsidP="00B86A59">
      <w:pPr>
        <w:pStyle w:val="Normln1"/>
        <w:ind w:right="-426"/>
        <w:rPr>
          <w:rFonts w:asciiTheme="minorHAnsi" w:eastAsia="Calibri" w:hAnsiTheme="minorHAnsi" w:cstheme="minorHAnsi"/>
          <w:color w:val="auto"/>
          <w:sz w:val="24"/>
          <w:szCs w:val="24"/>
        </w:rPr>
      </w:pPr>
    </w:p>
    <w:tbl>
      <w:tblPr>
        <w:tblW w:w="9356" w:type="dxa"/>
        <w:tblCellMar>
          <w:left w:w="70" w:type="dxa"/>
          <w:right w:w="70" w:type="dxa"/>
        </w:tblCellMar>
        <w:tblLook w:val="04A0" w:firstRow="1" w:lastRow="0" w:firstColumn="1" w:lastColumn="0" w:noHBand="0" w:noVBand="1"/>
      </w:tblPr>
      <w:tblGrid>
        <w:gridCol w:w="4253"/>
        <w:gridCol w:w="1559"/>
        <w:gridCol w:w="1701"/>
        <w:gridCol w:w="1843"/>
      </w:tblGrid>
      <w:tr w:rsidR="00B569FB" w:rsidRPr="00B86A59" w:rsidTr="00296A71">
        <w:trPr>
          <w:trHeight w:val="375"/>
        </w:trPr>
        <w:tc>
          <w:tcPr>
            <w:tcW w:w="5812" w:type="dxa"/>
            <w:gridSpan w:val="2"/>
            <w:tcBorders>
              <w:top w:val="nil"/>
              <w:left w:val="nil"/>
              <w:bottom w:val="nil"/>
              <w:right w:val="nil"/>
            </w:tcBorders>
            <w:shd w:val="clear" w:color="auto" w:fill="auto"/>
            <w:noWrap/>
            <w:vAlign w:val="center"/>
            <w:hideMark/>
          </w:tcPr>
          <w:p w:rsidR="00B569FB" w:rsidRPr="00B86A59" w:rsidRDefault="00B569FB" w:rsidP="006748C8">
            <w:pPr>
              <w:pStyle w:val="Nadpis4"/>
            </w:pPr>
            <w:r w:rsidRPr="00B86A59">
              <w:t>Finanční rozvaha - pro rok 2024</w:t>
            </w:r>
          </w:p>
        </w:tc>
        <w:tc>
          <w:tcPr>
            <w:tcW w:w="1701"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b/>
                <w:bCs/>
                <w:sz w:val="24"/>
                <w:szCs w:val="24"/>
              </w:rPr>
            </w:pPr>
          </w:p>
        </w:tc>
        <w:tc>
          <w:tcPr>
            <w:tcW w:w="1843"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r>
      <w:tr w:rsidR="00B569FB" w:rsidRPr="00B86A59" w:rsidTr="00296A71">
        <w:trPr>
          <w:trHeight w:val="315"/>
        </w:trPr>
        <w:tc>
          <w:tcPr>
            <w:tcW w:w="4253" w:type="dxa"/>
            <w:tcBorders>
              <w:top w:val="nil"/>
              <w:left w:val="nil"/>
              <w:bottom w:val="nil"/>
              <w:right w:val="nil"/>
            </w:tcBorders>
            <w:shd w:val="clear" w:color="auto" w:fill="auto"/>
            <w:noWrap/>
            <w:vAlign w:val="center"/>
            <w:hideMark/>
          </w:tcPr>
          <w:p w:rsidR="00B569FB" w:rsidRPr="00B86A59" w:rsidRDefault="00B569FB" w:rsidP="00B569FB">
            <w:pPr>
              <w:rPr>
                <w:rFonts w:asciiTheme="minorHAnsi" w:hAnsiTheme="minorHAnsi" w:cstheme="minorHAnsi"/>
                <w:color w:val="auto"/>
                <w:sz w:val="24"/>
                <w:szCs w:val="24"/>
              </w:rPr>
            </w:pPr>
          </w:p>
        </w:tc>
        <w:tc>
          <w:tcPr>
            <w:tcW w:w="1559"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c>
          <w:tcPr>
            <w:tcW w:w="1701"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c>
          <w:tcPr>
            <w:tcW w:w="1843"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r>
      <w:tr w:rsidR="00B569FB" w:rsidRPr="00B86A59" w:rsidTr="00296A71">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b/>
                <w:bCs/>
                <w:sz w:val="24"/>
                <w:szCs w:val="24"/>
              </w:rPr>
            </w:pPr>
            <w:r w:rsidRPr="00B86A59">
              <w:rPr>
                <w:rFonts w:asciiTheme="minorHAnsi" w:hAnsiTheme="minorHAnsi" w:cstheme="minorHAnsi"/>
                <w:b/>
                <w:bCs/>
                <w:sz w:val="24"/>
                <w:szCs w:val="24"/>
              </w:rPr>
              <w:t>Pevná část nákladů</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569FB" w:rsidRPr="00C11F89" w:rsidRDefault="00B569FB" w:rsidP="00C11F89">
            <w:pPr>
              <w:jc w:val="center"/>
              <w:rPr>
                <w:rFonts w:asciiTheme="minorHAnsi" w:hAnsiTheme="minorHAnsi" w:cstheme="minorHAnsi"/>
                <w:b/>
                <w:sz w:val="24"/>
                <w:szCs w:val="24"/>
              </w:rPr>
            </w:pPr>
            <w:r w:rsidRPr="00C11F89">
              <w:rPr>
                <w:rFonts w:asciiTheme="minorHAnsi" w:hAnsiTheme="minorHAnsi" w:cstheme="minorHAnsi"/>
                <w:b/>
                <w:sz w:val="24"/>
                <w:szCs w:val="24"/>
              </w:rPr>
              <w:t>2023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569FB" w:rsidRPr="00C11F89" w:rsidRDefault="00B569FB" w:rsidP="00C11F89">
            <w:pPr>
              <w:jc w:val="center"/>
              <w:rPr>
                <w:rFonts w:asciiTheme="minorHAnsi" w:hAnsiTheme="minorHAnsi" w:cstheme="minorHAnsi"/>
                <w:b/>
                <w:sz w:val="24"/>
                <w:szCs w:val="24"/>
              </w:rPr>
            </w:pPr>
            <w:r w:rsidRPr="00C11F89">
              <w:rPr>
                <w:rFonts w:asciiTheme="minorHAnsi" w:hAnsiTheme="minorHAnsi" w:cstheme="minorHAnsi"/>
                <w:b/>
                <w:sz w:val="24"/>
                <w:szCs w:val="24"/>
              </w:rPr>
              <w:t>% navýšení</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B569FB" w:rsidRPr="00C11F89" w:rsidRDefault="00B569FB" w:rsidP="00C11F89">
            <w:pPr>
              <w:jc w:val="center"/>
              <w:rPr>
                <w:rFonts w:asciiTheme="minorHAnsi" w:hAnsiTheme="minorHAnsi" w:cstheme="minorHAnsi"/>
                <w:b/>
                <w:sz w:val="24"/>
                <w:szCs w:val="24"/>
              </w:rPr>
            </w:pPr>
            <w:r w:rsidRPr="00C11F89">
              <w:rPr>
                <w:rFonts w:asciiTheme="minorHAnsi" w:hAnsiTheme="minorHAnsi" w:cstheme="minorHAnsi"/>
                <w:b/>
                <w:sz w:val="24"/>
                <w:szCs w:val="24"/>
              </w:rPr>
              <w:t>2024</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Dlouhodobá záloha na opravy</w:t>
            </w:r>
            <w:r w:rsidR="002A0447">
              <w:rPr>
                <w:rFonts w:asciiTheme="minorHAnsi" w:hAnsiTheme="minorHAnsi" w:cstheme="minorHAnsi"/>
                <w:sz w:val="24"/>
                <w:szCs w:val="24"/>
              </w:rPr>
              <w:t xml:space="preserve"> (FO)</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1 950 000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45%</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2 833 800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5E2B12">
            <w:pPr>
              <w:pStyle w:val="western"/>
              <w:suppressAutoHyphens w:val="0"/>
              <w:spacing w:before="0" w:after="0"/>
              <w:rPr>
                <w:rFonts w:asciiTheme="minorHAnsi" w:hAnsiTheme="minorHAnsi" w:cstheme="minorHAnsi"/>
                <w:lang w:eastAsia="cs-CZ"/>
              </w:rPr>
            </w:pPr>
            <w:r w:rsidRPr="00B86A59">
              <w:rPr>
                <w:rFonts w:asciiTheme="minorHAnsi" w:hAnsiTheme="minorHAnsi" w:cstheme="minorHAnsi"/>
                <w:lang w:eastAsia="cs-CZ"/>
              </w:rPr>
              <w:t>rezervní fond (dlužníci)</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b/>
                <w:bCs/>
                <w:sz w:val="24"/>
                <w:szCs w:val="24"/>
              </w:rPr>
            </w:pPr>
            <w:r w:rsidRPr="00B86A59">
              <w:rPr>
                <w:rFonts w:asciiTheme="minorHAnsi" w:hAnsiTheme="minorHAnsi" w:cstheme="minorHAnsi"/>
                <w:b/>
                <w:bCs/>
                <w:sz w:val="24"/>
                <w:szCs w:val="24"/>
              </w:rPr>
              <w:t>Zálohové platby na služby</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 </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 </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teplo</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5 417 500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5 417 500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ohřev vody</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1 952 500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1 952 500</w:t>
            </w:r>
          </w:p>
        </w:tc>
      </w:tr>
      <w:tr w:rsidR="00B569FB" w:rsidRPr="00C11F8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vodné a stočné - teplá voda</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770 880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770 880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vodné a stočné - studená voda</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1 557 600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1 557 600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úklid</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423 500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423 500</w:t>
            </w:r>
          </w:p>
        </w:tc>
      </w:tr>
      <w:tr w:rsidR="00B569FB" w:rsidRPr="00C11F8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odvoz odpadu</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508 200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508 200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el. energie</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330 330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330 330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provoz výtahů</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151 800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151 800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kolektory - monitoring</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29 700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29 700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provozní náklady a drobná údržba</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110 000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110 000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ostatní služby</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DPP a DPČ  mimo úklid</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60 000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60 000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pojištění majetku</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132 000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132 000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příspěvky sdružení SMBD</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10 000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odměna správci</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396 000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396 000</w:t>
            </w:r>
          </w:p>
        </w:tc>
      </w:tr>
      <w:tr w:rsidR="00B569FB" w:rsidRPr="00B86A59" w:rsidTr="00296A71">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odměny funkcionářů SVJ (technická správa objektu) včetně odvodů a daní</w:t>
            </w:r>
          </w:p>
        </w:tc>
        <w:tc>
          <w:tcPr>
            <w:tcW w:w="1559"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550 000</w:t>
            </w:r>
          </w:p>
        </w:tc>
        <w:tc>
          <w:tcPr>
            <w:tcW w:w="1701"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0%</w:t>
            </w:r>
          </w:p>
        </w:tc>
        <w:tc>
          <w:tcPr>
            <w:tcW w:w="1843" w:type="dxa"/>
            <w:tcBorders>
              <w:top w:val="nil"/>
              <w:left w:val="nil"/>
              <w:bottom w:val="single" w:sz="4" w:space="0" w:color="auto"/>
              <w:right w:val="single" w:sz="4" w:space="0" w:color="auto"/>
            </w:tcBorders>
            <w:shd w:val="clear" w:color="auto" w:fill="auto"/>
            <w:noWrap/>
            <w:vAlign w:val="bottom"/>
            <w:hideMark/>
          </w:tcPr>
          <w:p w:rsidR="00B569FB" w:rsidRPr="00B86A59" w:rsidRDefault="00B569FB" w:rsidP="00B569FB">
            <w:pPr>
              <w:jc w:val="right"/>
              <w:rPr>
                <w:rFonts w:asciiTheme="minorHAnsi" w:hAnsiTheme="minorHAnsi" w:cstheme="minorHAnsi"/>
                <w:sz w:val="24"/>
                <w:szCs w:val="24"/>
              </w:rPr>
            </w:pPr>
            <w:r w:rsidRPr="00B86A59">
              <w:rPr>
                <w:rFonts w:asciiTheme="minorHAnsi" w:hAnsiTheme="minorHAnsi" w:cstheme="minorHAnsi"/>
                <w:sz w:val="24"/>
                <w:szCs w:val="24"/>
              </w:rPr>
              <w:t>550 000</w:t>
            </w:r>
          </w:p>
        </w:tc>
      </w:tr>
      <w:tr w:rsidR="00B569FB" w:rsidRPr="00B86A59" w:rsidTr="00296A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B569FB" w:rsidRPr="00B86A59" w:rsidRDefault="00B569FB" w:rsidP="00B569FB">
            <w:pPr>
              <w:rPr>
                <w:rFonts w:asciiTheme="minorHAnsi" w:hAnsiTheme="minorHAnsi" w:cstheme="minorHAnsi"/>
                <w:b/>
                <w:bCs/>
                <w:sz w:val="24"/>
                <w:szCs w:val="24"/>
              </w:rPr>
            </w:pPr>
            <w:r w:rsidRPr="00B86A59">
              <w:rPr>
                <w:rFonts w:asciiTheme="minorHAnsi" w:hAnsiTheme="minorHAnsi" w:cstheme="minorHAnsi"/>
                <w:b/>
                <w:bCs/>
                <w:sz w:val="24"/>
                <w:szCs w:val="24"/>
              </w:rPr>
              <w:t>Celkem</w:t>
            </w:r>
          </w:p>
        </w:tc>
        <w:tc>
          <w:tcPr>
            <w:tcW w:w="1559" w:type="dxa"/>
            <w:tcBorders>
              <w:top w:val="nil"/>
              <w:left w:val="nil"/>
              <w:bottom w:val="single" w:sz="4" w:space="0" w:color="auto"/>
              <w:right w:val="single" w:sz="4" w:space="0" w:color="auto"/>
            </w:tcBorders>
            <w:shd w:val="clear" w:color="auto" w:fill="auto"/>
            <w:noWrap/>
            <w:vAlign w:val="center"/>
            <w:hideMark/>
          </w:tcPr>
          <w:p w:rsidR="00B569FB" w:rsidRPr="00B86A59" w:rsidRDefault="00B569FB" w:rsidP="00B569FB">
            <w:pPr>
              <w:jc w:val="right"/>
              <w:rPr>
                <w:rFonts w:asciiTheme="minorHAnsi" w:hAnsiTheme="minorHAnsi" w:cstheme="minorHAnsi"/>
                <w:b/>
                <w:bCs/>
                <w:sz w:val="24"/>
                <w:szCs w:val="24"/>
              </w:rPr>
            </w:pPr>
            <w:r w:rsidRPr="00B86A59">
              <w:rPr>
                <w:rFonts w:asciiTheme="minorHAnsi" w:hAnsiTheme="minorHAnsi" w:cstheme="minorHAnsi"/>
                <w:b/>
                <w:bCs/>
                <w:sz w:val="24"/>
                <w:szCs w:val="24"/>
              </w:rPr>
              <w:t>14 550 010</w:t>
            </w:r>
          </w:p>
        </w:tc>
        <w:tc>
          <w:tcPr>
            <w:tcW w:w="1701" w:type="dxa"/>
            <w:tcBorders>
              <w:top w:val="nil"/>
              <w:left w:val="nil"/>
              <w:bottom w:val="single" w:sz="4" w:space="0" w:color="auto"/>
              <w:right w:val="single" w:sz="4" w:space="0" w:color="auto"/>
            </w:tcBorders>
            <w:shd w:val="clear" w:color="auto" w:fill="auto"/>
            <w:noWrap/>
            <w:vAlign w:val="center"/>
            <w:hideMark/>
          </w:tcPr>
          <w:p w:rsidR="00B569FB" w:rsidRPr="00B86A59" w:rsidRDefault="00B569FB" w:rsidP="00B569FB">
            <w:pPr>
              <w:jc w:val="right"/>
              <w:rPr>
                <w:rFonts w:asciiTheme="minorHAnsi" w:hAnsiTheme="minorHAnsi" w:cstheme="minorHAnsi"/>
                <w:b/>
                <w:bCs/>
                <w:sz w:val="24"/>
                <w:szCs w:val="24"/>
              </w:rPr>
            </w:pPr>
            <w:r w:rsidRPr="00B86A59">
              <w:rPr>
                <w:rFonts w:asciiTheme="minorHAnsi" w:hAnsiTheme="minorHAnsi" w:cstheme="minorHAnsi"/>
                <w:b/>
                <w:bCs/>
                <w:sz w:val="24"/>
                <w:szCs w:val="24"/>
              </w:rPr>
              <w:t>6%</w:t>
            </w:r>
          </w:p>
        </w:tc>
        <w:tc>
          <w:tcPr>
            <w:tcW w:w="1843" w:type="dxa"/>
            <w:tcBorders>
              <w:top w:val="nil"/>
              <w:left w:val="nil"/>
              <w:bottom w:val="single" w:sz="4" w:space="0" w:color="auto"/>
              <w:right w:val="single" w:sz="4" w:space="0" w:color="auto"/>
            </w:tcBorders>
            <w:shd w:val="clear" w:color="auto" w:fill="auto"/>
            <w:noWrap/>
            <w:vAlign w:val="center"/>
            <w:hideMark/>
          </w:tcPr>
          <w:p w:rsidR="00B569FB" w:rsidRPr="00B86A59" w:rsidRDefault="00B569FB" w:rsidP="00B569FB">
            <w:pPr>
              <w:jc w:val="right"/>
              <w:rPr>
                <w:rFonts w:asciiTheme="minorHAnsi" w:hAnsiTheme="minorHAnsi" w:cstheme="minorHAnsi"/>
                <w:b/>
                <w:bCs/>
                <w:sz w:val="24"/>
                <w:szCs w:val="24"/>
              </w:rPr>
            </w:pPr>
            <w:r w:rsidRPr="00B86A59">
              <w:rPr>
                <w:rFonts w:asciiTheme="minorHAnsi" w:hAnsiTheme="minorHAnsi" w:cstheme="minorHAnsi"/>
                <w:b/>
                <w:bCs/>
                <w:sz w:val="24"/>
                <w:szCs w:val="24"/>
              </w:rPr>
              <w:t>15 433 810</w:t>
            </w:r>
          </w:p>
        </w:tc>
      </w:tr>
      <w:tr w:rsidR="00B569FB" w:rsidRPr="00B86A59" w:rsidTr="00296A71">
        <w:trPr>
          <w:trHeight w:val="315"/>
        </w:trPr>
        <w:tc>
          <w:tcPr>
            <w:tcW w:w="4253" w:type="dxa"/>
            <w:tcBorders>
              <w:top w:val="nil"/>
              <w:left w:val="nil"/>
              <w:bottom w:val="nil"/>
              <w:right w:val="nil"/>
            </w:tcBorders>
            <w:shd w:val="clear" w:color="auto" w:fill="auto"/>
            <w:noWrap/>
            <w:vAlign w:val="bottom"/>
            <w:hideMark/>
          </w:tcPr>
          <w:p w:rsidR="00B569FB" w:rsidRPr="00B86A59" w:rsidRDefault="00B569FB" w:rsidP="00B569FB">
            <w:pPr>
              <w:jc w:val="right"/>
              <w:rPr>
                <w:rFonts w:asciiTheme="minorHAnsi" w:hAnsiTheme="minorHAnsi" w:cstheme="minorHAnsi"/>
                <w:b/>
                <w:bCs/>
                <w:sz w:val="24"/>
                <w:szCs w:val="24"/>
              </w:rPr>
            </w:pPr>
          </w:p>
        </w:tc>
        <w:tc>
          <w:tcPr>
            <w:tcW w:w="1559"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c>
          <w:tcPr>
            <w:tcW w:w="1701"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c>
          <w:tcPr>
            <w:tcW w:w="1843" w:type="dxa"/>
            <w:tcBorders>
              <w:top w:val="nil"/>
              <w:left w:val="nil"/>
              <w:bottom w:val="nil"/>
              <w:right w:val="nil"/>
            </w:tcBorders>
            <w:shd w:val="clear" w:color="auto" w:fill="auto"/>
            <w:noWrap/>
            <w:vAlign w:val="bottom"/>
            <w:hideMark/>
          </w:tcPr>
          <w:p w:rsidR="00B569FB" w:rsidRPr="00B86A59" w:rsidRDefault="00B569FB" w:rsidP="00B569FB">
            <w:pPr>
              <w:rPr>
                <w:rFonts w:asciiTheme="minorHAnsi" w:hAnsiTheme="minorHAnsi" w:cstheme="minorHAnsi"/>
                <w:color w:val="auto"/>
                <w:sz w:val="24"/>
                <w:szCs w:val="24"/>
              </w:rPr>
            </w:pPr>
          </w:p>
        </w:tc>
      </w:tr>
      <w:tr w:rsidR="00B569FB" w:rsidRPr="00B86A59" w:rsidTr="00296A71">
        <w:trPr>
          <w:trHeight w:val="2460"/>
        </w:trPr>
        <w:tc>
          <w:tcPr>
            <w:tcW w:w="9356" w:type="dxa"/>
            <w:gridSpan w:val="4"/>
            <w:tcBorders>
              <w:top w:val="nil"/>
              <w:left w:val="nil"/>
              <w:bottom w:val="nil"/>
              <w:right w:val="nil"/>
            </w:tcBorders>
            <w:shd w:val="clear" w:color="auto" w:fill="auto"/>
            <w:hideMark/>
          </w:tcPr>
          <w:p w:rsidR="00B569FB" w:rsidRPr="00B86A59" w:rsidRDefault="00B569FB" w:rsidP="00B569FB">
            <w:pPr>
              <w:rPr>
                <w:rFonts w:asciiTheme="minorHAnsi" w:hAnsiTheme="minorHAnsi" w:cstheme="minorHAnsi"/>
                <w:sz w:val="24"/>
                <w:szCs w:val="24"/>
              </w:rPr>
            </w:pPr>
            <w:r w:rsidRPr="00B86A59">
              <w:rPr>
                <w:rFonts w:asciiTheme="minorHAnsi" w:hAnsiTheme="minorHAnsi" w:cstheme="minorHAnsi"/>
                <w:sz w:val="24"/>
                <w:szCs w:val="24"/>
              </w:rPr>
              <w:t>Odměny správci a funkcionářů</w:t>
            </w:r>
            <w:r w:rsidR="002A0447">
              <w:rPr>
                <w:rFonts w:asciiTheme="minorHAnsi" w:hAnsiTheme="minorHAnsi" w:cstheme="minorHAnsi"/>
                <w:sz w:val="24"/>
                <w:szCs w:val="24"/>
              </w:rPr>
              <w:t>m</w:t>
            </w:r>
            <w:r w:rsidRPr="00B86A59">
              <w:rPr>
                <w:rFonts w:asciiTheme="minorHAnsi" w:hAnsiTheme="minorHAnsi" w:cstheme="minorHAnsi"/>
                <w:sz w:val="24"/>
                <w:szCs w:val="24"/>
              </w:rPr>
              <w:t xml:space="preserve"> a Ostatní služby (náklady na provoz SVJ) se rozúčtují rovným dílem na jednotku, dle §1180 NOZ.</w:t>
            </w:r>
            <w:r w:rsidRPr="00B86A59">
              <w:rPr>
                <w:rFonts w:asciiTheme="minorHAnsi" w:hAnsiTheme="minorHAnsi" w:cstheme="minorHAnsi"/>
                <w:sz w:val="24"/>
                <w:szCs w:val="24"/>
              </w:rPr>
              <w:br/>
              <w:t>Teplo na otop a teplou vodu se rozúčtuje podle vyhl. 269/2015 Sb. Náklady na teplo na teplou vodu se rozdělí na základní složku 30%, která se rozúčtuje podle plochy bytů, a spotřební složku 70%, která se rozúčtuje podle náměrů z vodoměrů TV. Náklady na otop se rozdělí na základní složku 50%, která se rozúčtuje podle plochy bytů, a spotřební složku 50%, která se rozpočítá s korekcemi podle náměrů indikátorů.</w:t>
            </w:r>
            <w:r w:rsidRPr="00B86A59">
              <w:rPr>
                <w:rFonts w:asciiTheme="minorHAnsi" w:hAnsiTheme="minorHAnsi" w:cstheme="minorHAnsi"/>
                <w:sz w:val="24"/>
                <w:szCs w:val="24"/>
              </w:rPr>
              <w:br/>
              <w:t>Vodné se rozúčtuje celé v poměru naměřených hodnot dle bytových vodoměrů.</w:t>
            </w:r>
            <w:r w:rsidRPr="00B86A59">
              <w:rPr>
                <w:rFonts w:asciiTheme="minorHAnsi" w:hAnsiTheme="minorHAnsi" w:cstheme="minorHAnsi"/>
                <w:sz w:val="24"/>
                <w:szCs w:val="24"/>
              </w:rPr>
              <w:br/>
              <w:t>Všechny ostatní náklady se rozúčtují dle vlastnického podílu na společných částech, kromě individuálních nákladů (prádelny apod</w:t>
            </w:r>
            <w:r w:rsidR="00C11F89">
              <w:rPr>
                <w:rFonts w:asciiTheme="minorHAnsi" w:hAnsiTheme="minorHAnsi" w:cstheme="minorHAnsi"/>
                <w:sz w:val="24"/>
                <w:szCs w:val="24"/>
              </w:rPr>
              <w:t>.</w:t>
            </w:r>
            <w:r w:rsidRPr="00B86A59">
              <w:rPr>
                <w:rFonts w:asciiTheme="minorHAnsi" w:hAnsiTheme="minorHAnsi" w:cstheme="minorHAnsi"/>
                <w:sz w:val="24"/>
                <w:szCs w:val="24"/>
              </w:rPr>
              <w:t>).</w:t>
            </w:r>
          </w:p>
        </w:tc>
      </w:tr>
    </w:tbl>
    <w:p w:rsidR="001F76D8" w:rsidRPr="00B86A59" w:rsidRDefault="001F76D8" w:rsidP="00FB2EF6">
      <w:pPr>
        <w:pStyle w:val="Normln1"/>
        <w:ind w:right="-426"/>
        <w:rPr>
          <w:rFonts w:asciiTheme="minorHAnsi" w:eastAsia="Calibri" w:hAnsiTheme="minorHAnsi" w:cstheme="minorHAnsi"/>
          <w:color w:val="auto"/>
          <w:sz w:val="24"/>
          <w:szCs w:val="24"/>
        </w:rPr>
      </w:pPr>
    </w:p>
    <w:p w:rsidR="00FB5AB7" w:rsidRPr="00B86A59" w:rsidRDefault="00FB5AB7" w:rsidP="00FB5AB7">
      <w:pPr>
        <w:rPr>
          <w:rFonts w:asciiTheme="minorHAnsi" w:hAnsiTheme="minorHAnsi" w:cstheme="minorHAnsi"/>
          <w:color w:val="auto"/>
          <w:sz w:val="24"/>
          <w:szCs w:val="24"/>
        </w:rPr>
      </w:pPr>
      <w:r w:rsidRPr="00B86A59">
        <w:rPr>
          <w:rFonts w:asciiTheme="minorHAnsi" w:hAnsiTheme="minorHAnsi" w:cstheme="minorHAnsi"/>
          <w:b/>
          <w:color w:val="auto"/>
          <w:sz w:val="24"/>
          <w:szCs w:val="24"/>
        </w:rPr>
        <w:t>Postup při nefunkčním nebo poškozeném vodoměru</w:t>
      </w:r>
      <w:r w:rsidRPr="00B86A59">
        <w:rPr>
          <w:rFonts w:asciiTheme="minorHAnsi" w:hAnsiTheme="minorHAnsi" w:cstheme="minorHAnsi"/>
          <w:color w:val="auto"/>
          <w:sz w:val="24"/>
          <w:szCs w:val="24"/>
        </w:rPr>
        <w:t xml:space="preserve">: </w:t>
      </w:r>
    </w:p>
    <w:p w:rsidR="001A2104" w:rsidRPr="00B86A59" w:rsidRDefault="00FB5AB7" w:rsidP="001A2104">
      <w:pPr>
        <w:pStyle w:val="Odstavecseseznamem"/>
        <w:numPr>
          <w:ilvl w:val="0"/>
          <w:numId w:val="6"/>
        </w:numPr>
        <w:suppressAutoHyphens/>
        <w:rPr>
          <w:rFonts w:asciiTheme="minorHAnsi" w:hAnsiTheme="minorHAnsi" w:cstheme="minorHAnsi"/>
          <w:color w:val="auto"/>
          <w:sz w:val="24"/>
          <w:szCs w:val="24"/>
        </w:rPr>
      </w:pPr>
      <w:r w:rsidRPr="00B86A59">
        <w:rPr>
          <w:rFonts w:asciiTheme="minorHAnsi" w:hAnsiTheme="minorHAnsi" w:cstheme="minorHAnsi"/>
          <w:color w:val="auto"/>
          <w:sz w:val="24"/>
          <w:szCs w:val="24"/>
        </w:rPr>
        <w:t>při poruše (nefunkčním) vodoměru, spočítat údaj za dobu poruchy dle průměru v bytě za předešlé dva roky;</w:t>
      </w:r>
    </w:p>
    <w:p w:rsidR="00FB5AB7" w:rsidRPr="00B86A59" w:rsidRDefault="00FB5AB7" w:rsidP="001A2104">
      <w:pPr>
        <w:pStyle w:val="Odstavecseseznamem"/>
        <w:numPr>
          <w:ilvl w:val="0"/>
          <w:numId w:val="6"/>
        </w:numPr>
        <w:suppressAutoHyphens/>
        <w:rPr>
          <w:rFonts w:asciiTheme="minorHAnsi" w:hAnsiTheme="minorHAnsi" w:cstheme="minorHAnsi"/>
          <w:color w:val="auto"/>
          <w:sz w:val="24"/>
          <w:szCs w:val="24"/>
        </w:rPr>
      </w:pPr>
      <w:r w:rsidRPr="00B86A59">
        <w:rPr>
          <w:rFonts w:asciiTheme="minorHAnsi" w:hAnsiTheme="minorHAnsi" w:cstheme="minorHAnsi"/>
          <w:color w:val="auto"/>
          <w:sz w:val="24"/>
          <w:szCs w:val="24"/>
        </w:rPr>
        <w:t>při velkém odběru studené vody (po stížnosti vlastníka) dát vodoměr přezkoušet autorizovanou zkušebnou;</w:t>
      </w:r>
    </w:p>
    <w:p w:rsidR="00FB5AB7" w:rsidRPr="00B86A59" w:rsidRDefault="00FB5AB7" w:rsidP="00FB5AB7">
      <w:pPr>
        <w:pStyle w:val="Odstavecseseznamem"/>
        <w:numPr>
          <w:ilvl w:val="0"/>
          <w:numId w:val="6"/>
        </w:numPr>
        <w:suppressAutoHyphens/>
        <w:rPr>
          <w:rFonts w:asciiTheme="minorHAnsi" w:hAnsiTheme="minorHAnsi" w:cstheme="minorHAnsi"/>
          <w:color w:val="auto"/>
          <w:sz w:val="24"/>
          <w:szCs w:val="24"/>
        </w:rPr>
      </w:pPr>
      <w:r w:rsidRPr="00B86A59">
        <w:rPr>
          <w:rFonts w:asciiTheme="minorHAnsi" w:hAnsiTheme="minorHAnsi" w:cstheme="minorHAnsi"/>
          <w:color w:val="auto"/>
          <w:sz w:val="24"/>
          <w:szCs w:val="24"/>
        </w:rPr>
        <w:t>pokud bude vodoměr v pořádku, musí vlastník zaplatit celou spotřebu vody a i přezkoušení;</w:t>
      </w:r>
    </w:p>
    <w:p w:rsidR="00FB5AB7" w:rsidRPr="00B86A59" w:rsidRDefault="00FB5AB7" w:rsidP="00FB5AB7">
      <w:pPr>
        <w:pStyle w:val="Odstavecseseznamem"/>
        <w:numPr>
          <w:ilvl w:val="0"/>
          <w:numId w:val="6"/>
        </w:numPr>
        <w:suppressAutoHyphens/>
        <w:rPr>
          <w:rFonts w:asciiTheme="minorHAnsi" w:hAnsiTheme="minorHAnsi" w:cstheme="minorHAnsi"/>
          <w:color w:val="auto"/>
          <w:sz w:val="24"/>
          <w:szCs w:val="24"/>
        </w:rPr>
      </w:pPr>
      <w:r w:rsidRPr="00B86A59">
        <w:rPr>
          <w:rFonts w:asciiTheme="minorHAnsi" w:hAnsiTheme="minorHAnsi" w:cstheme="minorHAnsi"/>
          <w:color w:val="auto"/>
          <w:sz w:val="24"/>
          <w:szCs w:val="24"/>
        </w:rPr>
        <w:t>pokud bude vodoměr shledán vadným, postupovat jako při poruše;</w:t>
      </w:r>
    </w:p>
    <w:p w:rsidR="00FB5AB7" w:rsidRPr="00B86A59" w:rsidRDefault="00FB5AB7" w:rsidP="00FB5AB7">
      <w:pPr>
        <w:pStyle w:val="Odstavecseseznamem"/>
        <w:numPr>
          <w:ilvl w:val="0"/>
          <w:numId w:val="6"/>
        </w:numPr>
        <w:suppressAutoHyphens/>
        <w:rPr>
          <w:rFonts w:asciiTheme="minorHAnsi" w:hAnsiTheme="minorHAnsi" w:cstheme="minorHAnsi"/>
          <w:sz w:val="24"/>
          <w:szCs w:val="24"/>
        </w:rPr>
      </w:pPr>
      <w:r w:rsidRPr="00B86A59">
        <w:rPr>
          <w:rFonts w:asciiTheme="minorHAnsi" w:hAnsiTheme="minorHAnsi" w:cstheme="minorHAnsi"/>
          <w:color w:val="auto"/>
          <w:sz w:val="24"/>
          <w:szCs w:val="24"/>
        </w:rPr>
        <w:t>neumožní-li vlastník odečet nebo při úmyslném poškození, výpočet obdobně jako ve vyhl. 269/2015 Sb. §4 odst. 4</w:t>
      </w:r>
    </w:p>
    <w:p w:rsidR="00FB5AB7" w:rsidRPr="00B86A59" w:rsidRDefault="00FB5AB7" w:rsidP="00FB5AB7">
      <w:pPr>
        <w:rPr>
          <w:rFonts w:asciiTheme="minorHAnsi" w:hAnsiTheme="minorHAnsi" w:cstheme="minorHAnsi"/>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tbl>
      <w:tblPr>
        <w:tblW w:w="10233" w:type="dxa"/>
        <w:tblInd w:w="426" w:type="dxa"/>
        <w:tblCellMar>
          <w:left w:w="70" w:type="dxa"/>
          <w:right w:w="70" w:type="dxa"/>
        </w:tblCellMar>
        <w:tblLook w:val="04A0" w:firstRow="1" w:lastRow="0" w:firstColumn="1" w:lastColumn="0" w:noHBand="0" w:noVBand="1"/>
      </w:tblPr>
      <w:tblGrid>
        <w:gridCol w:w="8453"/>
        <w:gridCol w:w="1780"/>
      </w:tblGrid>
      <w:tr w:rsidR="00FB5AB7" w:rsidRPr="00B86A59" w:rsidTr="00B86A59">
        <w:trPr>
          <w:trHeight w:val="540"/>
        </w:trPr>
        <w:tc>
          <w:tcPr>
            <w:tcW w:w="10233" w:type="dxa"/>
            <w:gridSpan w:val="2"/>
            <w:tcBorders>
              <w:top w:val="nil"/>
              <w:left w:val="nil"/>
              <w:bottom w:val="nil"/>
              <w:right w:val="nil"/>
            </w:tcBorders>
            <w:shd w:val="clear" w:color="auto" w:fill="auto"/>
            <w:noWrap/>
            <w:vAlign w:val="center"/>
            <w:hideMark/>
          </w:tcPr>
          <w:tbl>
            <w:tblPr>
              <w:tblW w:w="9565" w:type="dxa"/>
              <w:tblCellMar>
                <w:left w:w="70" w:type="dxa"/>
                <w:right w:w="70" w:type="dxa"/>
              </w:tblCellMar>
              <w:tblLook w:val="04A0" w:firstRow="1" w:lastRow="0" w:firstColumn="1" w:lastColumn="0" w:noHBand="0" w:noVBand="1"/>
            </w:tblPr>
            <w:tblGrid>
              <w:gridCol w:w="7743"/>
              <w:gridCol w:w="1822"/>
            </w:tblGrid>
            <w:tr w:rsidR="00B86A59" w:rsidRPr="00B86A59" w:rsidTr="002C2732">
              <w:trPr>
                <w:trHeight w:val="375"/>
              </w:trPr>
              <w:tc>
                <w:tcPr>
                  <w:tcW w:w="77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b/>
                      <w:bCs/>
                      <w:sz w:val="24"/>
                      <w:szCs w:val="24"/>
                    </w:rPr>
                  </w:pPr>
                  <w:r w:rsidRPr="00B86A59">
                    <w:rPr>
                      <w:rFonts w:asciiTheme="minorHAnsi" w:hAnsiTheme="minorHAnsi" w:cstheme="minorHAnsi"/>
                      <w:b/>
                      <w:bCs/>
                      <w:sz w:val="24"/>
                      <w:szCs w:val="24"/>
                    </w:rPr>
                    <w:t>Předběžný Plán oprav na rok 2024 a výhled na další roky - odhad</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b/>
                      <w:bCs/>
                      <w:sz w:val="24"/>
                      <w:szCs w:val="24"/>
                    </w:rPr>
                  </w:pPr>
                  <w:r w:rsidRPr="00B86A59">
                    <w:rPr>
                      <w:rFonts w:asciiTheme="minorHAnsi" w:hAnsiTheme="minorHAnsi" w:cstheme="minorHAnsi"/>
                      <w:b/>
                      <w:bCs/>
                      <w:sz w:val="24"/>
                      <w:szCs w:val="24"/>
                    </w:rPr>
                    <w:t> </w:t>
                  </w:r>
                </w:p>
              </w:tc>
            </w:tr>
            <w:tr w:rsidR="00B86A59" w:rsidRPr="00B86A59" w:rsidTr="002C2732">
              <w:trPr>
                <w:trHeight w:val="300"/>
              </w:trPr>
              <w:tc>
                <w:tcPr>
                  <w:tcW w:w="7743" w:type="dxa"/>
                  <w:tcBorders>
                    <w:top w:val="nil"/>
                    <w:left w:val="single" w:sz="4" w:space="0" w:color="auto"/>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296A71" w:rsidRDefault="00B86A59" w:rsidP="00296A71">
                  <w:pPr>
                    <w:pStyle w:val="Nadpis8"/>
                  </w:pPr>
                  <w:r w:rsidRPr="00296A71">
                    <w:t>Příjmy /Kč/</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73374A" w:rsidRDefault="00B86A59" w:rsidP="00B86A59">
                  <w:pPr>
                    <w:rPr>
                      <w:rFonts w:asciiTheme="minorHAnsi" w:hAnsiTheme="minorHAnsi" w:cstheme="minorHAnsi"/>
                      <w:b/>
                      <w:sz w:val="24"/>
                      <w:szCs w:val="24"/>
                    </w:rPr>
                  </w:pPr>
                  <w:r w:rsidRPr="0073374A">
                    <w:rPr>
                      <w:rFonts w:asciiTheme="minorHAnsi" w:hAnsiTheme="minorHAnsi" w:cstheme="minorHAnsi"/>
                      <w:b/>
                      <w:sz w:val="24"/>
                      <w:szCs w:val="24"/>
                    </w:rPr>
                    <w:t xml:space="preserve">zálohy roku 2024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2 833 800,00</w:t>
                  </w:r>
                </w:p>
              </w:tc>
            </w:tr>
            <w:tr w:rsidR="00B86A59" w:rsidRPr="00B86A59" w:rsidTr="002C2732">
              <w:trPr>
                <w:trHeight w:val="630"/>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pravděpodobný převod zůstatku FO z r. 2023 bez nutných oprav v</w:t>
                  </w:r>
                  <w:r w:rsidR="002C2732">
                    <w:rPr>
                      <w:rFonts w:asciiTheme="minorHAnsi" w:hAnsiTheme="minorHAnsi" w:cstheme="minorHAnsi"/>
                      <w:sz w:val="24"/>
                      <w:szCs w:val="24"/>
                    </w:rPr>
                    <w:t>yplývajících z eventuálních havá</w:t>
                  </w:r>
                  <w:r w:rsidRPr="00B86A59">
                    <w:rPr>
                      <w:rFonts w:asciiTheme="minorHAnsi" w:hAnsiTheme="minorHAnsi" w:cstheme="minorHAnsi"/>
                      <w:sz w:val="24"/>
                      <w:szCs w:val="24"/>
                    </w:rPr>
                    <w:t>rií do konce r.</w:t>
                  </w:r>
                  <w:r w:rsidR="002C2732">
                    <w:rPr>
                      <w:rFonts w:asciiTheme="minorHAnsi" w:hAnsiTheme="minorHAnsi" w:cstheme="minorHAnsi"/>
                      <w:sz w:val="24"/>
                      <w:szCs w:val="24"/>
                    </w:rPr>
                    <w:t xml:space="preserve"> </w:t>
                  </w:r>
                  <w:r w:rsidRPr="00B86A59">
                    <w:rPr>
                      <w:rFonts w:asciiTheme="minorHAnsi" w:hAnsiTheme="minorHAnsi" w:cstheme="minorHAnsi"/>
                      <w:sz w:val="24"/>
                      <w:szCs w:val="24"/>
                    </w:rPr>
                    <w:t>2023</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3 980 018,65</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celkem /Kč/:</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6 813 818,65</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296A71" w:rsidRDefault="00B86A59" w:rsidP="002972E5">
                  <w:pPr>
                    <w:pStyle w:val="Nadpis8"/>
                  </w:pPr>
                  <w:r w:rsidRPr="00296A71">
                    <w:t>Náklady/Kč/</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73374A" w:rsidRDefault="00B86A59" w:rsidP="0073374A">
                  <w:pPr>
                    <w:pStyle w:val="Nadpis7"/>
                  </w:pPr>
                  <w:r w:rsidRPr="0073374A">
                    <w:t>Přesunuté opravy z roku 2023</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Výměna elektrických rozvodů - 1 vchod</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1 200 000,00</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xml:space="preserve">výměna vodorovných rozvodů </w:t>
                  </w:r>
                  <w:r w:rsidR="00296A71">
                    <w:rPr>
                      <w:rFonts w:asciiTheme="minorHAnsi" w:hAnsiTheme="minorHAnsi" w:cstheme="minorHAnsi"/>
                      <w:sz w:val="24"/>
                      <w:szCs w:val="24"/>
                    </w:rPr>
                    <w:t xml:space="preserve">teplé </w:t>
                  </w:r>
                  <w:r w:rsidRPr="00B86A59">
                    <w:rPr>
                      <w:rFonts w:asciiTheme="minorHAnsi" w:hAnsiTheme="minorHAnsi" w:cstheme="minorHAnsi"/>
                      <w:sz w:val="24"/>
                      <w:szCs w:val="24"/>
                    </w:rPr>
                    <w:t>vody v kolektorech</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2 100 000,00</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73374A" w:rsidRDefault="00B86A59" w:rsidP="0073374A">
                  <w:pPr>
                    <w:pStyle w:val="Nadpis7"/>
                  </w:pPr>
                  <w:r w:rsidRPr="0073374A">
                    <w:t>Plánované opravy</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nátěry zábradlí společné lodžie - východní strana domu</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500 000,00</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nátěry parapetů byty</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350 000,00</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výměna bytových vodoměrů a měřáků tepla</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1 351 163,35</w:t>
                  </w:r>
                </w:p>
              </w:tc>
            </w:tr>
            <w:tr w:rsidR="00B86A59" w:rsidRPr="00B86A59" w:rsidTr="002C2732">
              <w:trPr>
                <w:trHeight w:val="630"/>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rezerva na havárie ve spol. prostorách, údržba společných částí domu a budoucí investice</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1 312 655,30</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315"/>
              </w:trPr>
              <w:tc>
                <w:tcPr>
                  <w:tcW w:w="7743" w:type="dxa"/>
                  <w:tcBorders>
                    <w:top w:val="nil"/>
                    <w:left w:val="single" w:sz="4" w:space="0" w:color="auto"/>
                    <w:bottom w:val="single" w:sz="4" w:space="0" w:color="auto"/>
                    <w:right w:val="single" w:sz="4" w:space="0" w:color="auto"/>
                  </w:tcBorders>
                  <w:shd w:val="clear" w:color="auto" w:fill="auto"/>
                  <w:vAlign w:val="bottom"/>
                  <w:hideMark/>
                </w:tcPr>
                <w:p w:rsidR="00B86A59" w:rsidRPr="0073374A" w:rsidRDefault="00B86A59" w:rsidP="00B86A59">
                  <w:pPr>
                    <w:rPr>
                      <w:rFonts w:asciiTheme="minorHAnsi" w:hAnsiTheme="minorHAnsi" w:cstheme="minorHAnsi"/>
                      <w:b/>
                      <w:sz w:val="24"/>
                      <w:szCs w:val="24"/>
                    </w:rPr>
                  </w:pPr>
                  <w:r w:rsidRPr="0073374A">
                    <w:rPr>
                      <w:rFonts w:asciiTheme="minorHAnsi" w:hAnsiTheme="minorHAnsi" w:cstheme="minorHAnsi"/>
                      <w:b/>
                      <w:sz w:val="24"/>
                      <w:szCs w:val="24"/>
                    </w:rPr>
                    <w:t>celkem/Kč/:</w:t>
                  </w:r>
                </w:p>
              </w:tc>
              <w:tc>
                <w:tcPr>
                  <w:tcW w:w="1822" w:type="dxa"/>
                  <w:tcBorders>
                    <w:top w:val="nil"/>
                    <w:left w:val="nil"/>
                    <w:bottom w:val="single" w:sz="4" w:space="0" w:color="auto"/>
                    <w:right w:val="single" w:sz="4" w:space="0" w:color="auto"/>
                  </w:tcBorders>
                  <w:shd w:val="clear" w:color="auto" w:fill="auto"/>
                  <w:noWrap/>
                  <w:vAlign w:val="bottom"/>
                  <w:hideMark/>
                </w:tcPr>
                <w:p w:rsidR="00B86A59" w:rsidRPr="00B86A59" w:rsidRDefault="00B86A59" w:rsidP="00B86A59">
                  <w:pPr>
                    <w:jc w:val="right"/>
                    <w:rPr>
                      <w:rFonts w:asciiTheme="minorHAnsi" w:hAnsiTheme="minorHAnsi" w:cstheme="minorHAnsi"/>
                      <w:sz w:val="24"/>
                      <w:szCs w:val="24"/>
                    </w:rPr>
                  </w:pPr>
                  <w:r w:rsidRPr="00B86A59">
                    <w:rPr>
                      <w:rFonts w:asciiTheme="minorHAnsi" w:hAnsiTheme="minorHAnsi" w:cstheme="minorHAnsi"/>
                      <w:sz w:val="24"/>
                      <w:szCs w:val="24"/>
                    </w:rPr>
                    <w:t>6 813 818,65</w:t>
                  </w:r>
                </w:p>
              </w:tc>
            </w:tr>
            <w:tr w:rsidR="00B86A59" w:rsidRPr="00B86A59" w:rsidTr="002C2732">
              <w:trPr>
                <w:trHeight w:val="315"/>
              </w:trPr>
              <w:tc>
                <w:tcPr>
                  <w:tcW w:w="7743" w:type="dxa"/>
                  <w:tcBorders>
                    <w:top w:val="nil"/>
                    <w:left w:val="nil"/>
                    <w:bottom w:val="nil"/>
                    <w:right w:val="nil"/>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c>
                <w:tcPr>
                  <w:tcW w:w="1822" w:type="dxa"/>
                  <w:tcBorders>
                    <w:top w:val="nil"/>
                    <w:left w:val="nil"/>
                    <w:bottom w:val="nil"/>
                    <w:right w:val="nil"/>
                  </w:tcBorders>
                  <w:shd w:val="clear" w:color="auto" w:fill="auto"/>
                  <w:noWrap/>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 </w:t>
                  </w:r>
                </w:p>
              </w:tc>
            </w:tr>
            <w:tr w:rsidR="00B86A59" w:rsidRPr="00B86A59" w:rsidTr="002C2732">
              <w:trPr>
                <w:trHeight w:val="1320"/>
              </w:trPr>
              <w:tc>
                <w:tcPr>
                  <w:tcW w:w="9565" w:type="dxa"/>
                  <w:gridSpan w:val="2"/>
                  <w:tcBorders>
                    <w:top w:val="nil"/>
                    <w:left w:val="nil"/>
                    <w:bottom w:val="nil"/>
                    <w:right w:val="nil"/>
                  </w:tcBorders>
                  <w:shd w:val="clear" w:color="auto" w:fill="auto"/>
                  <w:vAlign w:val="bottom"/>
                  <w:hideMark/>
                </w:tcPr>
                <w:p w:rsidR="00B86A59" w:rsidRPr="00B86A59" w:rsidRDefault="00B86A59" w:rsidP="00B86A59">
                  <w:pPr>
                    <w:rPr>
                      <w:rFonts w:asciiTheme="minorHAnsi" w:hAnsiTheme="minorHAnsi" w:cstheme="minorHAnsi"/>
                      <w:sz w:val="24"/>
                      <w:szCs w:val="24"/>
                    </w:rPr>
                  </w:pPr>
                  <w:r w:rsidRPr="00B86A59">
                    <w:rPr>
                      <w:rFonts w:asciiTheme="minorHAnsi" w:hAnsiTheme="minorHAnsi" w:cstheme="minorHAnsi"/>
                      <w:sz w:val="24"/>
                      <w:szCs w:val="24"/>
                    </w:rPr>
                    <w:t>Uvedené odhady cen vycházejí z nabídek r. 2023. Jednotlivé práce budou prováděny po posouzení aktuálních nabídek pro r. 2024 ve výběrových řízeních a po posouzení naléhavosti opravy a finančních možností FO. Po vyhodnocení výběrových řízení a finančních prostředků v daném čase budou zahajovány práce po etapách.</w:t>
                  </w:r>
                </w:p>
              </w:tc>
            </w:tr>
          </w:tbl>
          <w:p w:rsidR="005E2B12" w:rsidRPr="00B86A59" w:rsidRDefault="005E2B12" w:rsidP="005E2B12">
            <w:pPr>
              <w:jc w:val="both"/>
              <w:rPr>
                <w:rFonts w:asciiTheme="minorHAnsi" w:hAnsiTheme="minorHAnsi" w:cstheme="minorHAnsi"/>
                <w:b/>
                <w:bCs/>
                <w:color w:val="auto"/>
                <w:sz w:val="24"/>
                <w:szCs w:val="24"/>
              </w:rPr>
            </w:pPr>
          </w:p>
          <w:p w:rsidR="00FB5AB7" w:rsidRPr="00B86A59" w:rsidRDefault="00FB5AB7" w:rsidP="005E2B12">
            <w:pPr>
              <w:jc w:val="both"/>
              <w:rPr>
                <w:rFonts w:asciiTheme="minorHAnsi" w:hAnsiTheme="minorHAnsi" w:cstheme="minorHAnsi"/>
                <w:b/>
                <w:bCs/>
                <w:color w:val="auto"/>
                <w:sz w:val="24"/>
                <w:szCs w:val="24"/>
              </w:rPr>
            </w:pPr>
          </w:p>
        </w:tc>
      </w:tr>
      <w:tr w:rsidR="00FB5AB7" w:rsidRPr="00B86A59" w:rsidTr="00B86A59">
        <w:trPr>
          <w:trHeight w:val="540"/>
        </w:trPr>
        <w:tc>
          <w:tcPr>
            <w:tcW w:w="8453" w:type="dxa"/>
            <w:tcBorders>
              <w:top w:val="nil"/>
              <w:left w:val="nil"/>
              <w:bottom w:val="nil"/>
              <w:right w:val="nil"/>
            </w:tcBorders>
            <w:shd w:val="clear" w:color="auto" w:fill="auto"/>
            <w:noWrap/>
            <w:vAlign w:val="center"/>
            <w:hideMark/>
          </w:tcPr>
          <w:p w:rsidR="00FB5AB7" w:rsidRPr="00B86A59" w:rsidRDefault="00FB5AB7" w:rsidP="00FB5AB7">
            <w:pPr>
              <w:jc w:val="both"/>
              <w:rPr>
                <w:rFonts w:asciiTheme="minorHAnsi" w:hAnsiTheme="minorHAnsi" w:cstheme="minorHAnsi"/>
                <w:b/>
                <w:bCs/>
                <w:color w:val="auto"/>
                <w:sz w:val="24"/>
                <w:szCs w:val="24"/>
              </w:rPr>
            </w:pPr>
          </w:p>
        </w:tc>
        <w:tc>
          <w:tcPr>
            <w:tcW w:w="1780" w:type="dxa"/>
            <w:tcBorders>
              <w:top w:val="nil"/>
              <w:left w:val="nil"/>
              <w:bottom w:val="nil"/>
              <w:right w:val="nil"/>
            </w:tcBorders>
            <w:shd w:val="clear" w:color="auto" w:fill="auto"/>
            <w:noWrap/>
            <w:vAlign w:val="center"/>
            <w:hideMark/>
          </w:tcPr>
          <w:p w:rsidR="00FB5AB7" w:rsidRPr="00B86A59" w:rsidRDefault="00FB5AB7" w:rsidP="00FB5AB7">
            <w:pPr>
              <w:jc w:val="both"/>
              <w:rPr>
                <w:rFonts w:asciiTheme="minorHAnsi" w:hAnsiTheme="minorHAnsi" w:cstheme="minorHAnsi"/>
                <w:color w:val="auto"/>
                <w:sz w:val="24"/>
                <w:szCs w:val="24"/>
              </w:rPr>
            </w:pPr>
          </w:p>
        </w:tc>
      </w:tr>
    </w:tbl>
    <w:p w:rsidR="001A2104" w:rsidRPr="00B86A59" w:rsidRDefault="001A2104"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B86A59" w:rsidRPr="00B86A59" w:rsidRDefault="00B86A59"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1A2104" w:rsidRPr="00B86A59" w:rsidRDefault="001A2104" w:rsidP="00FB2EF6">
      <w:pPr>
        <w:pStyle w:val="Normln1"/>
        <w:ind w:right="-426"/>
        <w:rPr>
          <w:rFonts w:asciiTheme="minorHAnsi" w:eastAsia="Calibri" w:hAnsiTheme="minorHAnsi" w:cstheme="minorHAnsi"/>
          <w:color w:val="auto"/>
          <w:sz w:val="24"/>
          <w:szCs w:val="24"/>
        </w:rPr>
      </w:pPr>
    </w:p>
    <w:p w:rsidR="006B79FF" w:rsidRPr="00B86A59" w:rsidRDefault="006B79FF" w:rsidP="00FB2EF6">
      <w:pPr>
        <w:pStyle w:val="Normln1"/>
        <w:ind w:right="-426"/>
        <w:rPr>
          <w:rFonts w:asciiTheme="minorHAnsi" w:eastAsia="Calibri" w:hAnsiTheme="minorHAnsi" w:cstheme="minorHAnsi"/>
          <w:color w:val="auto"/>
          <w:sz w:val="24"/>
          <w:szCs w:val="24"/>
        </w:rPr>
      </w:pPr>
    </w:p>
    <w:p w:rsidR="002C2732" w:rsidRDefault="002C2732" w:rsidP="002C2732">
      <w:pPr>
        <w:keepNext/>
        <w:widowControl w:val="0"/>
        <w:ind w:right="-2"/>
        <w:jc w:val="center"/>
        <w:rPr>
          <w:rFonts w:asciiTheme="minorHAnsi" w:hAnsiTheme="minorHAnsi" w:cstheme="minorHAnsi"/>
          <w:b/>
          <w:bCs/>
          <w:sz w:val="24"/>
          <w:szCs w:val="24"/>
        </w:rPr>
      </w:pPr>
      <w:r>
        <w:rPr>
          <w:rFonts w:asciiTheme="minorHAnsi" w:hAnsiTheme="minorHAnsi" w:cstheme="minorHAnsi"/>
          <w:b/>
          <w:bCs/>
          <w:sz w:val="24"/>
          <w:szCs w:val="24"/>
        </w:rPr>
        <w:lastRenderedPageBreak/>
        <w:t>Návrh USNESENÍ</w:t>
      </w:r>
    </w:p>
    <w:p w:rsidR="002C2732" w:rsidRDefault="002C2732" w:rsidP="002C2732">
      <w:pPr>
        <w:keepNext/>
        <w:widowControl w:val="0"/>
        <w:ind w:right="-2"/>
        <w:jc w:val="center"/>
        <w:rPr>
          <w:rFonts w:asciiTheme="minorHAnsi" w:hAnsiTheme="minorHAnsi" w:cstheme="minorHAnsi"/>
          <w:b/>
          <w:bCs/>
          <w:sz w:val="22"/>
          <w:szCs w:val="22"/>
        </w:rPr>
      </w:pPr>
      <w:r>
        <w:rPr>
          <w:rFonts w:asciiTheme="minorHAnsi" w:hAnsiTheme="minorHAnsi" w:cstheme="minorHAnsi"/>
          <w:b/>
          <w:bCs/>
          <w:sz w:val="22"/>
          <w:szCs w:val="22"/>
        </w:rPr>
        <w:t>z</w:t>
      </w:r>
      <w:r w:rsidR="00945CDD">
        <w:rPr>
          <w:rFonts w:asciiTheme="minorHAnsi" w:hAnsiTheme="minorHAnsi" w:cstheme="minorHAnsi"/>
          <w:b/>
          <w:bCs/>
          <w:sz w:val="22"/>
          <w:szCs w:val="22"/>
        </w:rPr>
        <w:t> </w:t>
      </w:r>
      <w:r>
        <w:rPr>
          <w:rFonts w:asciiTheme="minorHAnsi" w:hAnsiTheme="minorHAnsi" w:cstheme="minorHAnsi"/>
          <w:b/>
          <w:bCs/>
          <w:sz w:val="22"/>
          <w:szCs w:val="22"/>
        </w:rPr>
        <w:t>20</w:t>
      </w:r>
      <w:r w:rsidR="00945CDD">
        <w:rPr>
          <w:rFonts w:asciiTheme="minorHAnsi" w:hAnsiTheme="minorHAnsi" w:cstheme="minorHAnsi"/>
          <w:b/>
          <w:bCs/>
          <w:sz w:val="22"/>
          <w:szCs w:val="22"/>
        </w:rPr>
        <w:t>.</w:t>
      </w:r>
      <w:r>
        <w:rPr>
          <w:rFonts w:asciiTheme="minorHAnsi" w:hAnsiTheme="minorHAnsi" w:cstheme="minorHAnsi"/>
          <w:b/>
          <w:bCs/>
          <w:sz w:val="22"/>
          <w:szCs w:val="22"/>
        </w:rPr>
        <w:t xml:space="preserve"> shromáždění Společenství vlastníků Kurkova 1206-1212, Praha 8 (dále jen SVJ)</w:t>
      </w:r>
    </w:p>
    <w:p w:rsidR="002C2732" w:rsidRDefault="002C2732" w:rsidP="002C2732">
      <w:pPr>
        <w:widowControl w:val="0"/>
        <w:pBdr>
          <w:bottom w:val="single" w:sz="12" w:space="1" w:color="000000"/>
        </w:pBdr>
        <w:ind w:right="-2"/>
        <w:jc w:val="center"/>
        <w:rPr>
          <w:rFonts w:asciiTheme="minorHAnsi" w:hAnsiTheme="minorHAnsi" w:cstheme="minorHAnsi"/>
          <w:b/>
          <w:bCs/>
          <w:sz w:val="22"/>
          <w:szCs w:val="22"/>
        </w:rPr>
      </w:pPr>
      <w:r>
        <w:rPr>
          <w:rFonts w:asciiTheme="minorHAnsi" w:hAnsiTheme="minorHAnsi" w:cstheme="minorHAnsi"/>
          <w:b/>
          <w:bCs/>
          <w:sz w:val="22"/>
          <w:szCs w:val="22"/>
        </w:rPr>
        <w:t>konaného dne 22. 11. 2023 v</w:t>
      </w:r>
      <w:r>
        <w:rPr>
          <w:rFonts w:asciiTheme="minorHAnsi" w:hAnsiTheme="minorHAnsi" w:cstheme="minorHAnsi"/>
          <w:sz w:val="22"/>
          <w:szCs w:val="22"/>
        </w:rPr>
        <w:t> </w:t>
      </w:r>
      <w:r>
        <w:rPr>
          <w:rFonts w:asciiTheme="minorHAnsi" w:hAnsiTheme="minorHAnsi" w:cstheme="minorHAnsi"/>
          <w:b/>
          <w:bCs/>
          <w:sz w:val="22"/>
          <w:szCs w:val="22"/>
        </w:rPr>
        <w:t>jídelně ZŠ Burešova 1130, Praha 8</w:t>
      </w:r>
    </w:p>
    <w:p w:rsidR="002C2732" w:rsidRDefault="002C2732" w:rsidP="002C2732">
      <w:pPr>
        <w:widowControl w:val="0"/>
        <w:ind w:right="-2"/>
        <w:rPr>
          <w:rFonts w:asciiTheme="minorHAnsi" w:hAnsiTheme="minorHAnsi" w:cstheme="minorHAnsi"/>
          <w:b/>
          <w:bCs/>
          <w:sz w:val="22"/>
          <w:szCs w:val="22"/>
        </w:rPr>
      </w:pPr>
      <w:r>
        <w:rPr>
          <w:rFonts w:asciiTheme="minorHAnsi" w:hAnsiTheme="minorHAnsi" w:cstheme="minorHAnsi"/>
          <w:b/>
          <w:bCs/>
          <w:sz w:val="22"/>
          <w:szCs w:val="22"/>
        </w:rPr>
        <w:t>Členové Společenství vlastníků Kurkova 1206-1212, Praha 8 (dále jen SVJ)</w:t>
      </w:r>
    </w:p>
    <w:p w:rsidR="002C2732" w:rsidRDefault="002C2732" w:rsidP="002C2732">
      <w:pPr>
        <w:widowControl w:val="0"/>
        <w:ind w:left="284" w:right="-2" w:hanging="284"/>
        <w:rPr>
          <w:rFonts w:asciiTheme="minorHAnsi" w:hAnsiTheme="minorHAnsi" w:cstheme="minorHAnsi"/>
          <w:b/>
          <w:bCs/>
          <w:sz w:val="22"/>
          <w:szCs w:val="22"/>
        </w:rPr>
      </w:pPr>
      <w:r>
        <w:rPr>
          <w:rFonts w:asciiTheme="minorHAnsi" w:hAnsiTheme="minorHAnsi" w:cstheme="minorHAnsi"/>
          <w:b/>
          <w:bCs/>
          <w:sz w:val="22"/>
          <w:szCs w:val="22"/>
        </w:rPr>
        <w:t>I.</w:t>
      </w:r>
      <w:r>
        <w:rPr>
          <w:rFonts w:asciiTheme="minorHAnsi" w:hAnsiTheme="minorHAnsi" w:cstheme="minorHAnsi"/>
          <w:b/>
          <w:bCs/>
          <w:sz w:val="22"/>
          <w:szCs w:val="22"/>
        </w:rPr>
        <w:tab/>
        <w:t xml:space="preserve">BEROU NA VĚDOMÍ: </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Zprávu o činnosti výboru SVJ od minulého shromáždění konaného korespondenčním hlasováním (per rollam).</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 xml:space="preserve">Zprávu o plnění hospodářsko-finančního plánu objektu za období </w:t>
      </w:r>
      <w:r>
        <w:rPr>
          <w:rFonts w:asciiTheme="minorHAnsi" w:hAnsiTheme="minorHAnsi" w:cstheme="minorHAnsi"/>
          <w:color w:val="auto"/>
          <w:sz w:val="22"/>
          <w:szCs w:val="22"/>
        </w:rPr>
        <w:t>1. 1. 2023 - 30. 9. 2023</w:t>
      </w:r>
      <w:r>
        <w:rPr>
          <w:rFonts w:asciiTheme="minorHAnsi" w:hAnsiTheme="minorHAnsi" w:cstheme="minorHAnsi"/>
          <w:sz w:val="22"/>
          <w:szCs w:val="22"/>
        </w:rPr>
        <w:t>, výhledu do konce roku 2023 a informaci o hospodaření s dlouhodobou zálohou za služby v roce 2023.</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Zprávu kontrolní komise SVJ.</w:t>
      </w:r>
    </w:p>
    <w:p w:rsidR="002C2732" w:rsidRDefault="002C2732" w:rsidP="002C2732">
      <w:pPr>
        <w:pStyle w:val="LO-normal"/>
        <w:widowControl w:val="0"/>
        <w:ind w:left="284" w:right="-2" w:hanging="284"/>
        <w:rPr>
          <w:rFonts w:asciiTheme="minorHAnsi" w:hAnsiTheme="minorHAnsi" w:cstheme="minorHAnsi"/>
          <w:color w:val="auto"/>
          <w:sz w:val="22"/>
          <w:szCs w:val="22"/>
        </w:rPr>
      </w:pPr>
      <w:r>
        <w:rPr>
          <w:rFonts w:asciiTheme="minorHAnsi" w:eastAsia="Calibri" w:hAnsiTheme="minorHAnsi" w:cstheme="minorHAnsi"/>
          <w:b/>
          <w:color w:val="auto"/>
          <w:sz w:val="22"/>
          <w:szCs w:val="22"/>
        </w:rPr>
        <w:t>II</w:t>
      </w:r>
      <w:r>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ab/>
      </w:r>
      <w:r>
        <w:rPr>
          <w:rFonts w:asciiTheme="minorHAnsi" w:eastAsia="Calibri" w:hAnsiTheme="minorHAnsi" w:cstheme="minorHAnsi"/>
          <w:b/>
          <w:color w:val="auto"/>
          <w:sz w:val="22"/>
          <w:szCs w:val="22"/>
        </w:rPr>
        <w:t>SCHVALUJÍ:</w:t>
      </w:r>
    </w:p>
    <w:p w:rsidR="002C2732" w:rsidRDefault="002C2732" w:rsidP="002C2732">
      <w:pPr>
        <w:pStyle w:val="LO-normal"/>
        <w:widowControl w:val="0"/>
        <w:ind w:left="284" w:right="-2" w:hanging="284"/>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ab/>
        <w:t xml:space="preserve"> hospodář</w:t>
      </w:r>
      <w:r w:rsidR="002A0447">
        <w:rPr>
          <w:rFonts w:asciiTheme="minorHAnsi" w:eastAsia="Calibri" w:hAnsiTheme="minorHAnsi" w:cstheme="minorHAnsi"/>
          <w:color w:val="auto"/>
          <w:sz w:val="22"/>
          <w:szCs w:val="22"/>
        </w:rPr>
        <w:t>ský výsledek objektu za rok 202</w:t>
      </w:r>
      <w:r w:rsidR="00945CDD">
        <w:rPr>
          <w:rFonts w:asciiTheme="minorHAnsi" w:eastAsia="Calibri" w:hAnsiTheme="minorHAnsi" w:cstheme="minorHAnsi"/>
          <w:color w:val="auto"/>
          <w:sz w:val="22"/>
          <w:szCs w:val="22"/>
        </w:rPr>
        <w:t>2</w:t>
      </w:r>
      <w:r>
        <w:rPr>
          <w:rFonts w:asciiTheme="minorHAnsi" w:eastAsia="Calibri" w:hAnsiTheme="minorHAnsi" w:cstheme="minorHAnsi"/>
          <w:color w:val="auto"/>
          <w:sz w:val="22"/>
          <w:szCs w:val="22"/>
        </w:rPr>
        <w:t xml:space="preserve"> a jeho vypořádání;</w:t>
      </w:r>
    </w:p>
    <w:p w:rsidR="002C2732" w:rsidRDefault="002C2732" w:rsidP="002C2732">
      <w:pPr>
        <w:pStyle w:val="LO-normal"/>
        <w:widowControl w:val="0"/>
        <w:ind w:left="284" w:right="-2" w:hanging="284"/>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návrh finanční rozvahy na rok 2024 včetně odměny členům volených orgánů SVJ (zahrnuje soc. a zdrav. pojištění);</w:t>
      </w:r>
    </w:p>
    <w:p w:rsidR="002C2732" w:rsidRDefault="00C11F89" w:rsidP="002C2732">
      <w:pPr>
        <w:pStyle w:val="LO-normal"/>
        <w:widowControl w:val="0"/>
        <w:ind w:left="284" w:right="-2" w:hanging="284"/>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     plán oprav na rok 2024</w:t>
      </w:r>
      <w:r w:rsidR="002C2732">
        <w:rPr>
          <w:rFonts w:asciiTheme="minorHAnsi" w:eastAsia="Calibri" w:hAnsiTheme="minorHAnsi" w:cstheme="minorHAnsi"/>
          <w:color w:val="auto"/>
          <w:sz w:val="22"/>
          <w:szCs w:val="22"/>
        </w:rPr>
        <w:t xml:space="preserve"> s výhledem na další roky.</w:t>
      </w:r>
    </w:p>
    <w:p w:rsidR="002C2732" w:rsidRDefault="002C2732" w:rsidP="002C2732">
      <w:pPr>
        <w:pStyle w:val="LO-normal"/>
        <w:widowControl w:val="0"/>
        <w:ind w:left="284" w:right="-2" w:hanging="284"/>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w:t>
      </w:r>
      <w:r>
        <w:rPr>
          <w:rFonts w:asciiTheme="minorHAnsi" w:eastAsia="Calibri" w:hAnsiTheme="minorHAnsi" w:cstheme="minorHAnsi"/>
          <w:color w:val="auto"/>
          <w:sz w:val="22"/>
          <w:szCs w:val="22"/>
        </w:rPr>
        <w:tab/>
        <w:t>Stanovy</w:t>
      </w:r>
    </w:p>
    <w:p w:rsidR="002C2732" w:rsidRDefault="002C2732" w:rsidP="002C2732">
      <w:pPr>
        <w:pStyle w:val="LO-normal"/>
        <w:widowControl w:val="0"/>
        <w:ind w:left="284" w:right="-2" w:hanging="284"/>
        <w:rPr>
          <w:rFonts w:asciiTheme="minorHAnsi" w:hAnsiTheme="minorHAnsi" w:cstheme="minorHAnsi"/>
          <w:b/>
          <w:bCs/>
          <w:sz w:val="22"/>
          <w:szCs w:val="22"/>
        </w:rPr>
      </w:pPr>
      <w:r>
        <w:rPr>
          <w:rFonts w:asciiTheme="minorHAnsi" w:hAnsiTheme="minorHAnsi" w:cstheme="minorHAnsi"/>
          <w:b/>
          <w:sz w:val="22"/>
          <w:szCs w:val="22"/>
        </w:rPr>
        <w:t>III.</w:t>
      </w:r>
      <w:r>
        <w:rPr>
          <w:rFonts w:asciiTheme="minorHAnsi" w:hAnsiTheme="minorHAnsi" w:cstheme="minorHAnsi"/>
          <w:sz w:val="22"/>
          <w:szCs w:val="22"/>
        </w:rPr>
        <w:tab/>
      </w:r>
      <w:r>
        <w:rPr>
          <w:rFonts w:asciiTheme="minorHAnsi" w:hAnsiTheme="minorHAnsi" w:cstheme="minorHAnsi"/>
          <w:b/>
          <w:bCs/>
          <w:sz w:val="22"/>
          <w:szCs w:val="22"/>
        </w:rPr>
        <w:t>UKLÁDAJÍ VÝBORU SVJ:</w:t>
      </w:r>
    </w:p>
    <w:p w:rsidR="002C2732" w:rsidRDefault="002C2732" w:rsidP="002C2732">
      <w:pPr>
        <w:widowControl w:val="0"/>
        <w:ind w:left="284" w:right="-2" w:hanging="284"/>
        <w:rPr>
          <w:rFonts w:asciiTheme="minorHAnsi" w:hAnsiTheme="minorHAnsi" w:cstheme="minorHAnsi"/>
          <w:b/>
          <w:bCs/>
          <w:sz w:val="22"/>
          <w:szCs w:val="22"/>
        </w:rPr>
      </w:pPr>
      <w:r>
        <w:rPr>
          <w:rFonts w:asciiTheme="minorHAnsi" w:hAnsiTheme="minorHAnsi" w:cstheme="minorHAnsi"/>
          <w:bCs/>
          <w:sz w:val="22"/>
          <w:szCs w:val="22"/>
        </w:rPr>
        <w:t>1</w:t>
      </w:r>
      <w:r>
        <w:rPr>
          <w:rFonts w:asciiTheme="minorHAnsi" w:hAnsiTheme="minorHAnsi" w:cstheme="minorHAnsi"/>
          <w:b/>
          <w:bCs/>
          <w:sz w:val="22"/>
          <w:szCs w:val="22"/>
        </w:rPr>
        <w:t>.</w:t>
      </w:r>
      <w:r>
        <w:rPr>
          <w:rFonts w:asciiTheme="minorHAnsi" w:hAnsiTheme="minorHAnsi" w:cstheme="minorHAnsi"/>
          <w:b/>
          <w:bCs/>
          <w:sz w:val="22"/>
          <w:szCs w:val="22"/>
        </w:rPr>
        <w:tab/>
      </w:r>
      <w:r>
        <w:rPr>
          <w:rFonts w:asciiTheme="minorHAnsi" w:hAnsiTheme="minorHAnsi" w:cstheme="minorHAnsi"/>
          <w:sz w:val="22"/>
          <w:szCs w:val="22"/>
        </w:rPr>
        <w:t>návazně na změny ekonomických podmínek (DPH, ceny energií a služeb) pružně reagovat a zpřesňovat finanční rozvahu pro rok 2024 pro ekonomicky podložené náhrady za užívání bytu včetně krytí předpokládaných nákladů v budoucím období;</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organizovat výběrová řízení na dodavatele prací dle potřeby s cílem dosáhnout optimálních cen zadávaných prací a návazně kontrolovat kvalitu prováděných prací;</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sjednávat dohody o pracovní činnosti, dohody o provedení prací, a smlouvy o dodávce služeb, které budou ekonomicky zdůvodněné a řešící provozní potřeby objektu;</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jednat s dalšími organizacemi a jednotlivci o uzavření smluv o zpoplatnění dosud bezplatně užívaných společných prostor;</w:t>
      </w:r>
    </w:p>
    <w:p w:rsidR="002C2732" w:rsidRDefault="002C2732" w:rsidP="002C2732">
      <w:pPr>
        <w:widowControl w:val="0"/>
        <w:ind w:left="284" w:right="-2" w:hanging="284"/>
        <w:rPr>
          <w:rFonts w:asciiTheme="minorHAnsi" w:hAnsiTheme="minorHAnsi" w:cstheme="minorHAnsi"/>
          <w:color w:val="auto"/>
          <w:sz w:val="22"/>
          <w:szCs w:val="22"/>
        </w:rPr>
      </w:pPr>
      <w:r>
        <w:rPr>
          <w:rFonts w:asciiTheme="minorHAnsi" w:hAnsiTheme="minorHAnsi" w:cstheme="minorHAnsi"/>
          <w:sz w:val="22"/>
          <w:szCs w:val="22"/>
        </w:rPr>
        <w:t>5.</w:t>
      </w:r>
      <w:r>
        <w:rPr>
          <w:rFonts w:asciiTheme="minorHAnsi" w:hAnsiTheme="minorHAnsi" w:cstheme="minorHAnsi"/>
          <w:sz w:val="22"/>
          <w:szCs w:val="22"/>
        </w:rPr>
        <w:tab/>
      </w:r>
      <w:r>
        <w:rPr>
          <w:rFonts w:asciiTheme="minorHAnsi" w:hAnsiTheme="minorHAnsi" w:cstheme="minorHAnsi"/>
          <w:color w:val="auto"/>
          <w:sz w:val="22"/>
          <w:szCs w:val="22"/>
        </w:rPr>
        <w:t>dle potřeby organizovat hlasování per rollam i mimo shromáždění;</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v souladu s Občanským zákoníkem a Stanovami SVJ řešit pohledávky neplatičů, pokud pohledávky přesahují tři měsíční platby, toto řešit i soudní cestou;</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t>zajistit odečty měřidel vody, tepla a povinné revize v objektu;</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t>výsledky Usnesení vyvěsit ve vitrínách ve vstupních halách jednotlivých sekcí;</w:t>
      </w:r>
    </w:p>
    <w:p w:rsidR="002C2732" w:rsidRDefault="002C2732" w:rsidP="002C2732">
      <w:pPr>
        <w:widowControl w:val="0"/>
        <w:ind w:left="284" w:right="-2" w:hanging="284"/>
        <w:rPr>
          <w:rFonts w:asciiTheme="minorHAnsi" w:hAnsiTheme="minorHAnsi" w:cstheme="minorHAnsi"/>
          <w:color w:val="auto"/>
          <w:sz w:val="22"/>
          <w:szCs w:val="22"/>
        </w:rPr>
      </w:pPr>
      <w:r>
        <w:rPr>
          <w:rFonts w:asciiTheme="minorHAnsi" w:hAnsiTheme="minorHAnsi" w:cstheme="minorHAnsi"/>
          <w:sz w:val="22"/>
          <w:szCs w:val="22"/>
        </w:rPr>
        <w:t>9.</w:t>
      </w:r>
      <w:r>
        <w:rPr>
          <w:rFonts w:asciiTheme="minorHAnsi" w:hAnsiTheme="minorHAnsi" w:cstheme="minorHAnsi"/>
          <w:sz w:val="22"/>
          <w:szCs w:val="22"/>
        </w:rPr>
        <w:tab/>
      </w:r>
      <w:r>
        <w:rPr>
          <w:rFonts w:asciiTheme="minorHAnsi" w:hAnsiTheme="minorHAnsi" w:cstheme="minorHAnsi"/>
          <w:color w:val="auto"/>
          <w:sz w:val="22"/>
          <w:szCs w:val="22"/>
        </w:rPr>
        <w:t>aby nadále zastupoval Společenství při jednání se spolkem Krásné Kobylisy;</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color w:val="auto"/>
          <w:sz w:val="22"/>
          <w:szCs w:val="22"/>
        </w:rPr>
        <w:t>10.</w:t>
      </w:r>
      <w:r>
        <w:rPr>
          <w:rFonts w:asciiTheme="minorHAnsi" w:hAnsiTheme="minorHAnsi" w:cstheme="minorHAnsi"/>
          <w:color w:val="auto"/>
          <w:sz w:val="22"/>
          <w:szCs w:val="22"/>
        </w:rPr>
        <w:tab/>
        <w:t>realizovat rozdělení výnosu z aktivit (pronájem všech mimo bytových prostor</w:t>
      </w:r>
      <w:r>
        <w:rPr>
          <w:rFonts w:asciiTheme="minorHAnsi" w:hAnsiTheme="minorHAnsi" w:cstheme="minorHAnsi"/>
          <w:sz w:val="22"/>
          <w:szCs w:val="22"/>
        </w:rPr>
        <w:t>) podle velikosti podílů vlastníků;</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t xml:space="preserve">v případě porušení čl. Stanov a Domovního řádu, je možné vymáhat pokutu </w:t>
      </w:r>
      <w:r>
        <w:rPr>
          <w:rFonts w:asciiTheme="minorHAnsi" w:hAnsiTheme="minorHAnsi" w:cstheme="minorHAnsi"/>
          <w:color w:val="auto"/>
          <w:sz w:val="22"/>
          <w:szCs w:val="22"/>
        </w:rPr>
        <w:t>ve výši 100,-Kč/za den</w:t>
      </w:r>
      <w:r>
        <w:rPr>
          <w:rFonts w:asciiTheme="minorHAnsi" w:hAnsiTheme="minorHAnsi" w:cstheme="minorHAnsi"/>
          <w:sz w:val="22"/>
          <w:szCs w:val="22"/>
        </w:rPr>
        <w:t>. Neplnění povinností může být i podklad pro soudní vymáhání;</w:t>
      </w:r>
    </w:p>
    <w:p w:rsidR="002C2732" w:rsidRDefault="002C2732" w:rsidP="002C2732">
      <w:pPr>
        <w:ind w:left="284" w:hanging="284"/>
        <w:jc w:val="both"/>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t>aby rozhodoval o zásadách pro uzamykání společných částí (prostor), o podmínkách vydávání klíčů a čipů vlastníkům jednotek, o evidenci klíčů a čipů a nákladech s tím spojených a o případném upřesnění rozsahu a doby užívání společných prostor.</w:t>
      </w:r>
    </w:p>
    <w:p w:rsidR="002C2732" w:rsidRDefault="002C2732" w:rsidP="002C2732">
      <w:pPr>
        <w:widowControl w:val="0"/>
        <w:ind w:left="284" w:right="-2" w:hanging="284"/>
        <w:rPr>
          <w:rFonts w:asciiTheme="minorHAnsi" w:hAnsiTheme="minorHAnsi" w:cstheme="minorHAnsi"/>
          <w:b/>
          <w:sz w:val="22"/>
          <w:szCs w:val="22"/>
        </w:rPr>
      </w:pPr>
      <w:r>
        <w:rPr>
          <w:rFonts w:asciiTheme="minorHAnsi" w:hAnsiTheme="minorHAnsi" w:cstheme="minorHAnsi"/>
          <w:b/>
          <w:sz w:val="22"/>
          <w:szCs w:val="22"/>
        </w:rPr>
        <w:t xml:space="preserve">IV. </w:t>
      </w:r>
      <w:r>
        <w:rPr>
          <w:rFonts w:asciiTheme="minorHAnsi" w:hAnsiTheme="minorHAnsi" w:cstheme="minorHAnsi"/>
          <w:b/>
          <w:bCs/>
          <w:sz w:val="22"/>
          <w:szCs w:val="22"/>
        </w:rPr>
        <w:t>UKLÁDAJÍ ČLENŮM SVJ:</w:t>
      </w:r>
      <w:r>
        <w:rPr>
          <w:rFonts w:asciiTheme="minorHAnsi" w:hAnsiTheme="minorHAnsi" w:cstheme="minorHAnsi"/>
          <w:sz w:val="22"/>
          <w:szCs w:val="22"/>
        </w:rPr>
        <w:t xml:space="preserve"> </w:t>
      </w:r>
    </w:p>
    <w:p w:rsidR="002C2732" w:rsidRPr="002A0447" w:rsidRDefault="002C2732" w:rsidP="002C2732">
      <w:pPr>
        <w:widowControl w:val="0"/>
        <w:ind w:left="284" w:right="-2" w:hanging="284"/>
        <w:rPr>
          <w:rFonts w:asciiTheme="minorHAnsi" w:hAnsiTheme="minorHAnsi" w:cstheme="minorHAnsi"/>
          <w:color w:val="auto"/>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b/>
          <w:sz w:val="22"/>
          <w:szCs w:val="22"/>
        </w:rPr>
        <w:t>informovat výbor o pronájmech včetně jmen osob bydlících v bytě a i s uvedením kontaktních adres, telefonů, e-mailu a to i v souvislosti s možnými haváriemi, tak jak je to uvedené ve Stanovách</w:t>
      </w:r>
      <w:r>
        <w:rPr>
          <w:rFonts w:asciiTheme="minorHAnsi" w:hAnsiTheme="minorHAnsi" w:cstheme="minorHAnsi"/>
          <w:sz w:val="22"/>
          <w:szCs w:val="22"/>
        </w:rPr>
        <w:t xml:space="preserve">. </w:t>
      </w:r>
      <w:r w:rsidRPr="002A0447">
        <w:rPr>
          <w:rFonts w:asciiTheme="minorHAnsi" w:hAnsiTheme="minorHAnsi" w:cstheme="minorHAnsi"/>
          <w:sz w:val="22"/>
          <w:szCs w:val="22"/>
        </w:rPr>
        <w:t xml:space="preserve">Při neplnění této povinnosti je možné vymáhat pokutu </w:t>
      </w:r>
      <w:r w:rsidR="002A0447">
        <w:rPr>
          <w:rFonts w:asciiTheme="minorHAnsi" w:hAnsiTheme="minorHAnsi" w:cstheme="minorHAnsi"/>
          <w:color w:val="auto"/>
          <w:sz w:val="22"/>
          <w:szCs w:val="22"/>
        </w:rPr>
        <w:t>ve výši 20,-Kč/den opoždění;</w:t>
      </w:r>
      <w:r w:rsidR="002A0447">
        <w:rPr>
          <w:rFonts w:asciiTheme="minorHAnsi" w:hAnsiTheme="minorHAnsi" w:cstheme="minorHAnsi"/>
          <w:color w:val="auto"/>
          <w:sz w:val="22"/>
          <w:szCs w:val="22"/>
        </w:rPr>
        <w:softHyphen/>
        <w:t xml:space="preserve"> </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color w:val="auto"/>
          <w:sz w:val="22"/>
          <w:szCs w:val="22"/>
        </w:rPr>
        <w:t>2.</w:t>
      </w:r>
      <w:r>
        <w:rPr>
          <w:rFonts w:asciiTheme="minorHAnsi" w:hAnsiTheme="minorHAnsi" w:cstheme="minorHAnsi"/>
          <w:color w:val="auto"/>
          <w:sz w:val="22"/>
          <w:szCs w:val="22"/>
        </w:rPr>
        <w:tab/>
      </w:r>
      <w:r>
        <w:rPr>
          <w:rFonts w:asciiTheme="minorHAnsi" w:hAnsiTheme="minorHAnsi" w:cstheme="minorHAnsi"/>
          <w:b/>
          <w:color w:val="auto"/>
          <w:sz w:val="22"/>
          <w:szCs w:val="22"/>
        </w:rPr>
        <w:t xml:space="preserve">informovat výbor o prodeji bytu </w:t>
      </w:r>
      <w:r>
        <w:rPr>
          <w:rFonts w:asciiTheme="minorHAnsi" w:hAnsiTheme="minorHAnsi" w:cstheme="minorHAnsi"/>
          <w:color w:val="auto"/>
          <w:sz w:val="22"/>
          <w:szCs w:val="22"/>
        </w:rPr>
        <w:t xml:space="preserve">a předat výboru SVJ a Správě </w:t>
      </w:r>
      <w:r>
        <w:rPr>
          <w:rFonts w:asciiTheme="minorHAnsi" w:hAnsiTheme="minorHAnsi" w:cstheme="minorHAnsi"/>
          <w:sz w:val="22"/>
          <w:szCs w:val="22"/>
        </w:rPr>
        <w:t>nemovitostí předávací protokoly (odečty vody, odečty tepla) a nové spojení, aby bylo možné zaslat vyúčtování za minulý rok;</w:t>
      </w:r>
    </w:p>
    <w:p w:rsidR="002C2732" w:rsidRDefault="002C2732" w:rsidP="002C2732">
      <w:pPr>
        <w:widowControl w:val="0"/>
        <w:ind w:left="284" w:right="-2" w:hanging="284"/>
        <w:rPr>
          <w:rFonts w:asciiTheme="minorHAnsi" w:hAnsiTheme="minorHAnsi" w:cstheme="minorHAnsi"/>
          <w:b/>
          <w:sz w:val="22"/>
          <w:szCs w:val="22"/>
        </w:rPr>
      </w:pPr>
      <w:r>
        <w:rPr>
          <w:rFonts w:asciiTheme="minorHAnsi" w:hAnsiTheme="minorHAnsi" w:cstheme="minorHAnsi"/>
          <w:sz w:val="22"/>
          <w:szCs w:val="22"/>
        </w:rPr>
        <w:t>3.</w:t>
      </w:r>
      <w:r>
        <w:rPr>
          <w:rFonts w:asciiTheme="minorHAnsi" w:hAnsiTheme="minorHAnsi" w:cstheme="minorHAnsi"/>
          <w:sz w:val="22"/>
          <w:szCs w:val="22"/>
        </w:rPr>
        <w:tab/>
        <w:t xml:space="preserve">dle Občanského zákoníku §1182 </w:t>
      </w:r>
      <w:r>
        <w:rPr>
          <w:rFonts w:asciiTheme="minorHAnsi" w:hAnsiTheme="minorHAnsi" w:cstheme="minorHAnsi"/>
          <w:b/>
          <w:sz w:val="22"/>
          <w:szCs w:val="22"/>
        </w:rPr>
        <w:t xml:space="preserve">minimálně 3 týdny před plánovanou rekonstrukcí (koupelen, kuchyní, WC, výměn oken, zasklení lodžií, instalací TV antén apod.) ve svých bytech, informovat výbor SVJ a vyčkat na pokyny výboru; </w:t>
      </w:r>
    </w:p>
    <w:p w:rsidR="002C2732" w:rsidRDefault="002C2732" w:rsidP="002C2732">
      <w:pPr>
        <w:widowControl w:val="0"/>
        <w:ind w:left="284" w:right="-2" w:hanging="284"/>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při rekonstrukcích bytu dodržovat pravidla Domovního řádu, zejména neprovádět hlučné práce po 18 hodin a o sobotách, nedělích a svátcích (práce se sbíječkou, kladivy apod.);</w:t>
      </w:r>
    </w:p>
    <w:p w:rsidR="002C2732" w:rsidRDefault="002C2732" w:rsidP="002C2732">
      <w:pPr>
        <w:widowControl w:val="0"/>
        <w:ind w:left="284" w:right="-2" w:hanging="284"/>
        <w:rPr>
          <w:rFonts w:asciiTheme="minorHAnsi" w:hAnsiTheme="minorHAnsi" w:cstheme="minorHAnsi"/>
          <w:b/>
          <w:sz w:val="22"/>
          <w:szCs w:val="22"/>
        </w:rPr>
      </w:pPr>
      <w:r>
        <w:rPr>
          <w:rFonts w:asciiTheme="minorHAnsi" w:hAnsiTheme="minorHAnsi" w:cstheme="minorHAnsi"/>
          <w:sz w:val="22"/>
          <w:szCs w:val="22"/>
        </w:rPr>
        <w:t>5.</w:t>
      </w:r>
      <w:r>
        <w:rPr>
          <w:rFonts w:asciiTheme="minorHAnsi" w:hAnsiTheme="minorHAnsi" w:cstheme="minorHAnsi"/>
          <w:sz w:val="22"/>
          <w:szCs w:val="22"/>
        </w:rPr>
        <w:tab/>
      </w:r>
      <w:r>
        <w:rPr>
          <w:rFonts w:asciiTheme="minorHAnsi" w:hAnsiTheme="minorHAnsi" w:cstheme="minorHAnsi"/>
          <w:b/>
          <w:sz w:val="22"/>
          <w:szCs w:val="22"/>
        </w:rPr>
        <w:t>nahlásit změnu telefonního čísla, e-mailové adresy jak vlastníků, tak i podnájemníků, aby bylo možné reagovat pro případ neodkladné záležitosti (havárie apod.);</w:t>
      </w:r>
      <w:r>
        <w:rPr>
          <w:rFonts w:asciiTheme="minorHAnsi" w:hAnsiTheme="minorHAnsi" w:cstheme="minorHAnsi"/>
          <w:b/>
          <w:sz w:val="22"/>
          <w:szCs w:val="22"/>
        </w:rPr>
        <w:tab/>
      </w:r>
    </w:p>
    <w:p w:rsidR="002C2732" w:rsidRDefault="002C2732" w:rsidP="002C2732">
      <w:pPr>
        <w:pStyle w:val="LO-normal"/>
        <w:rPr>
          <w:rFonts w:asciiTheme="minorHAnsi" w:hAnsiTheme="minorHAnsi" w:cstheme="minorHAnsi"/>
          <w:sz w:val="22"/>
          <w:szCs w:val="22"/>
        </w:rPr>
      </w:pPr>
      <w:r>
        <w:rPr>
          <w:rFonts w:asciiTheme="minorHAnsi" w:hAnsiTheme="minorHAnsi" w:cstheme="minorHAnsi"/>
          <w:sz w:val="22"/>
          <w:szCs w:val="22"/>
        </w:rPr>
        <w:t>6.   nekrmit na lodžiích, francouzských oknech, parapetech a v okolí objektu holuby a jiné ptactvo;</w:t>
      </w:r>
    </w:p>
    <w:p w:rsidR="002C2732" w:rsidRDefault="002C2732" w:rsidP="002C2732">
      <w:pPr>
        <w:pStyle w:val="LO-normal"/>
        <w:rPr>
          <w:rFonts w:asciiTheme="minorHAnsi" w:hAnsiTheme="minorHAnsi" w:cstheme="minorHAnsi"/>
          <w:sz w:val="22"/>
          <w:szCs w:val="22"/>
        </w:rPr>
      </w:pPr>
      <w:r>
        <w:rPr>
          <w:rFonts w:asciiTheme="minorHAnsi" w:hAnsiTheme="minorHAnsi" w:cstheme="minorHAnsi"/>
          <w:sz w:val="22"/>
          <w:szCs w:val="22"/>
        </w:rPr>
        <w:t>7.   bez vědomí výboru SV nevpouštět do objektu cizí a neznámé osoby. Např. prodejce nabízející různé druhy služeb</w:t>
      </w:r>
    </w:p>
    <w:p w:rsidR="002C2732" w:rsidRDefault="002C2732" w:rsidP="002C2732">
      <w:pPr>
        <w:pStyle w:val="LO-normal"/>
        <w:rPr>
          <w:rFonts w:asciiTheme="minorHAnsi" w:hAnsiTheme="minorHAnsi" w:cstheme="minorHAnsi"/>
          <w:sz w:val="22"/>
          <w:szCs w:val="22"/>
        </w:rPr>
      </w:pPr>
      <w:r>
        <w:rPr>
          <w:rFonts w:asciiTheme="minorHAnsi" w:hAnsiTheme="minorHAnsi" w:cstheme="minorHAnsi"/>
          <w:sz w:val="22"/>
          <w:szCs w:val="22"/>
        </w:rPr>
        <w:t xml:space="preserve">      (elektřina, plyn, TV, internet, zabezpečení bytových dveří apod.);</w:t>
      </w:r>
    </w:p>
    <w:p w:rsidR="002C2732" w:rsidRDefault="002C2732" w:rsidP="002C2732">
      <w:pPr>
        <w:pStyle w:val="LO-normal"/>
        <w:rPr>
          <w:rFonts w:asciiTheme="minorHAnsi" w:hAnsiTheme="minorHAnsi" w:cstheme="minorHAnsi"/>
          <w:sz w:val="22"/>
          <w:szCs w:val="22"/>
        </w:rPr>
      </w:pPr>
      <w:r>
        <w:rPr>
          <w:rFonts w:asciiTheme="minorHAnsi" w:hAnsiTheme="minorHAnsi" w:cstheme="minorHAnsi"/>
          <w:sz w:val="22"/>
          <w:szCs w:val="22"/>
        </w:rPr>
        <w:t>8.   uvést na vstupní dveře bytu číslo bytu a na tlačítka zvonků (tam kde jsou dvě tlačítka pod sebou) uvést č. bytu;</w:t>
      </w:r>
    </w:p>
    <w:p w:rsidR="002C2732" w:rsidRDefault="002C2732" w:rsidP="002C2732">
      <w:pPr>
        <w:pStyle w:val="LO-normal"/>
        <w:rPr>
          <w:rFonts w:asciiTheme="minorHAnsi" w:hAnsiTheme="minorHAnsi" w:cstheme="minorHAnsi"/>
          <w:b/>
          <w:sz w:val="22"/>
          <w:szCs w:val="22"/>
        </w:rPr>
      </w:pPr>
      <w:r>
        <w:rPr>
          <w:rFonts w:asciiTheme="minorHAnsi" w:hAnsiTheme="minorHAnsi" w:cstheme="minorHAnsi"/>
          <w:sz w:val="22"/>
          <w:szCs w:val="22"/>
        </w:rPr>
        <w:t xml:space="preserve">9.   pokud dojde ke ztrátě čipu, </w:t>
      </w:r>
      <w:r>
        <w:rPr>
          <w:rFonts w:asciiTheme="minorHAnsi" w:hAnsiTheme="minorHAnsi" w:cstheme="minorHAnsi"/>
          <w:b/>
          <w:sz w:val="22"/>
          <w:szCs w:val="22"/>
        </w:rPr>
        <w:t>neprodleně výboru SVJ nahlásit jeho číslo, aby mohlo být provedeno zablokování;</w:t>
      </w:r>
    </w:p>
    <w:p w:rsidR="002C2732" w:rsidRDefault="002C2732" w:rsidP="002C2732">
      <w:pPr>
        <w:pStyle w:val="LO-normal"/>
        <w:rPr>
          <w:rFonts w:asciiTheme="minorHAnsi" w:hAnsiTheme="minorHAnsi" w:cstheme="minorHAnsi"/>
          <w:color w:val="auto"/>
          <w:sz w:val="22"/>
          <w:szCs w:val="22"/>
        </w:rPr>
      </w:pPr>
      <w:r>
        <w:rPr>
          <w:rFonts w:asciiTheme="minorHAnsi" w:hAnsiTheme="minorHAnsi" w:cstheme="minorHAnsi"/>
          <w:sz w:val="22"/>
          <w:szCs w:val="22"/>
        </w:rPr>
        <w:t xml:space="preserve">9.  </w:t>
      </w:r>
      <w:r>
        <w:rPr>
          <w:rFonts w:asciiTheme="minorHAnsi" w:hAnsiTheme="minorHAnsi" w:cstheme="minorHAnsi"/>
          <w:b/>
          <w:color w:val="auto"/>
          <w:sz w:val="22"/>
          <w:szCs w:val="22"/>
        </w:rPr>
        <w:t>neukládat na chodbové lodžie, na chodby a  do průchozích chodeb</w:t>
      </w:r>
      <w:r>
        <w:rPr>
          <w:rFonts w:asciiTheme="minorHAnsi" w:hAnsiTheme="minorHAnsi" w:cstheme="minorHAnsi"/>
          <w:color w:val="auto"/>
          <w:sz w:val="22"/>
          <w:szCs w:val="22"/>
        </w:rPr>
        <w:t xml:space="preserve"> jakékoliv věci. Při udělení pokuty ze strany </w:t>
      </w:r>
    </w:p>
    <w:p w:rsidR="002C2732" w:rsidRDefault="002C2732" w:rsidP="002C2732">
      <w:pPr>
        <w:pStyle w:val="LO-normal"/>
        <w:rPr>
          <w:rFonts w:asciiTheme="minorHAnsi" w:hAnsiTheme="minorHAnsi" w:cstheme="minorHAnsi"/>
          <w:color w:val="auto"/>
          <w:sz w:val="22"/>
          <w:szCs w:val="22"/>
        </w:rPr>
      </w:pPr>
      <w:r>
        <w:rPr>
          <w:rFonts w:asciiTheme="minorHAnsi" w:hAnsiTheme="minorHAnsi" w:cstheme="minorHAnsi"/>
          <w:color w:val="auto"/>
          <w:sz w:val="22"/>
          <w:szCs w:val="22"/>
        </w:rPr>
        <w:t xml:space="preserve">      Hasičského záchranného sboru bude pokuta převedena na dotčeného vlastníka.                   </w:t>
      </w:r>
    </w:p>
    <w:p w:rsidR="002C2732" w:rsidRDefault="002C2732" w:rsidP="002C2732">
      <w:pPr>
        <w:pStyle w:val="LO-normal"/>
        <w:rPr>
          <w:rFonts w:asciiTheme="minorHAnsi" w:hAnsiTheme="minorHAnsi" w:cstheme="minorHAnsi"/>
          <w:color w:val="auto"/>
          <w:sz w:val="22"/>
          <w:szCs w:val="22"/>
        </w:rPr>
      </w:pPr>
      <w:r>
        <w:rPr>
          <w:rFonts w:asciiTheme="minorHAnsi" w:hAnsiTheme="minorHAnsi" w:cstheme="minorHAnsi"/>
          <w:sz w:val="22"/>
          <w:szCs w:val="22"/>
        </w:rPr>
        <w:t>V Praze dne 8. 11.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2C2732" w:rsidSect="00FB2EF6">
      <w:footerReference w:type="default" r:id="rId8"/>
      <w:pgSz w:w="11906" w:h="16838"/>
      <w:pgMar w:top="454" w:right="510" w:bottom="17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1A8" w:rsidRDefault="003541A8" w:rsidP="00DB4A69">
      <w:r>
        <w:separator/>
      </w:r>
    </w:p>
  </w:endnote>
  <w:endnote w:type="continuationSeparator" w:id="0">
    <w:p w:rsidR="003541A8" w:rsidRDefault="003541A8" w:rsidP="00DB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97077"/>
      <w:docPartObj>
        <w:docPartGallery w:val="Page Numbers (Bottom of Page)"/>
        <w:docPartUnique/>
      </w:docPartObj>
    </w:sdtPr>
    <w:sdtContent>
      <w:sdt>
        <w:sdtPr>
          <w:id w:val="37899295"/>
          <w:docPartObj>
            <w:docPartGallery w:val="Page Numbers (Top of Page)"/>
            <w:docPartUnique/>
          </w:docPartObj>
        </w:sdtPr>
        <w:sdtContent>
          <w:p w:rsidR="006B1E48" w:rsidRDefault="006B1E48">
            <w:pPr>
              <w:pStyle w:val="Zpat"/>
              <w:jc w:val="center"/>
            </w:pPr>
            <w:r>
              <w:t xml:space="preserve">Stránka </w:t>
            </w:r>
            <w:r>
              <w:rPr>
                <w:b/>
                <w:sz w:val="24"/>
                <w:szCs w:val="24"/>
              </w:rPr>
              <w:fldChar w:fldCharType="begin"/>
            </w:r>
            <w:r>
              <w:rPr>
                <w:b/>
              </w:rPr>
              <w:instrText>PAGE</w:instrText>
            </w:r>
            <w:r>
              <w:rPr>
                <w:b/>
                <w:sz w:val="24"/>
                <w:szCs w:val="24"/>
              </w:rPr>
              <w:fldChar w:fldCharType="separate"/>
            </w:r>
            <w:r w:rsidR="00E97C28">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97C28">
              <w:rPr>
                <w:b/>
                <w:noProof/>
              </w:rPr>
              <w:t>10</w:t>
            </w:r>
            <w:r>
              <w:rPr>
                <w:b/>
                <w:sz w:val="24"/>
                <w:szCs w:val="24"/>
              </w:rPr>
              <w:fldChar w:fldCharType="end"/>
            </w:r>
          </w:p>
        </w:sdtContent>
      </w:sdt>
    </w:sdtContent>
  </w:sdt>
  <w:p w:rsidR="006B1E48" w:rsidRDefault="006B1E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1A8" w:rsidRDefault="003541A8" w:rsidP="00DB4A69">
      <w:r>
        <w:separator/>
      </w:r>
    </w:p>
  </w:footnote>
  <w:footnote w:type="continuationSeparator" w:id="0">
    <w:p w:rsidR="003541A8" w:rsidRDefault="003541A8" w:rsidP="00DB4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533985"/>
    <w:multiLevelType w:val="multilevel"/>
    <w:tmpl w:val="A434E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F7593A"/>
    <w:multiLevelType w:val="multilevel"/>
    <w:tmpl w:val="C02286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1AF5EB9"/>
    <w:multiLevelType w:val="multilevel"/>
    <w:tmpl w:val="C02286B8"/>
    <w:lvl w:ilvl="0">
      <w:start w:val="1"/>
      <w:numFmt w:val="bullet"/>
      <w:lvlText w:val="o"/>
      <w:lvlJc w:val="left"/>
      <w:pPr>
        <w:tabs>
          <w:tab w:val="num" w:pos="3904"/>
        </w:tabs>
        <w:ind w:left="3904" w:hanging="360"/>
      </w:pPr>
      <w:rPr>
        <w:rFonts w:ascii="Courier New" w:hAnsi="Courier New" w:hint="default"/>
        <w:sz w:val="20"/>
      </w:rPr>
    </w:lvl>
    <w:lvl w:ilvl="1" w:tentative="1">
      <w:start w:val="1"/>
      <w:numFmt w:val="bullet"/>
      <w:lvlText w:val="o"/>
      <w:lvlJc w:val="left"/>
      <w:pPr>
        <w:tabs>
          <w:tab w:val="num" w:pos="4624"/>
        </w:tabs>
        <w:ind w:left="4624" w:hanging="360"/>
      </w:pPr>
      <w:rPr>
        <w:rFonts w:ascii="Courier New" w:hAnsi="Courier New" w:hint="default"/>
        <w:sz w:val="20"/>
      </w:rPr>
    </w:lvl>
    <w:lvl w:ilvl="2" w:tentative="1">
      <w:start w:val="1"/>
      <w:numFmt w:val="bullet"/>
      <w:lvlText w:val="o"/>
      <w:lvlJc w:val="left"/>
      <w:pPr>
        <w:tabs>
          <w:tab w:val="num" w:pos="5344"/>
        </w:tabs>
        <w:ind w:left="5344" w:hanging="360"/>
      </w:pPr>
      <w:rPr>
        <w:rFonts w:ascii="Courier New" w:hAnsi="Courier New" w:hint="default"/>
        <w:sz w:val="20"/>
      </w:rPr>
    </w:lvl>
    <w:lvl w:ilvl="3" w:tentative="1">
      <w:start w:val="1"/>
      <w:numFmt w:val="bullet"/>
      <w:lvlText w:val="o"/>
      <w:lvlJc w:val="left"/>
      <w:pPr>
        <w:tabs>
          <w:tab w:val="num" w:pos="6064"/>
        </w:tabs>
        <w:ind w:left="6064" w:hanging="360"/>
      </w:pPr>
      <w:rPr>
        <w:rFonts w:ascii="Courier New" w:hAnsi="Courier New" w:hint="default"/>
        <w:sz w:val="20"/>
      </w:rPr>
    </w:lvl>
    <w:lvl w:ilvl="4" w:tentative="1">
      <w:start w:val="1"/>
      <w:numFmt w:val="bullet"/>
      <w:lvlText w:val="o"/>
      <w:lvlJc w:val="left"/>
      <w:pPr>
        <w:tabs>
          <w:tab w:val="num" w:pos="6784"/>
        </w:tabs>
        <w:ind w:left="6784" w:hanging="360"/>
      </w:pPr>
      <w:rPr>
        <w:rFonts w:ascii="Courier New" w:hAnsi="Courier New" w:hint="default"/>
        <w:sz w:val="20"/>
      </w:rPr>
    </w:lvl>
    <w:lvl w:ilvl="5" w:tentative="1">
      <w:start w:val="1"/>
      <w:numFmt w:val="bullet"/>
      <w:lvlText w:val="o"/>
      <w:lvlJc w:val="left"/>
      <w:pPr>
        <w:tabs>
          <w:tab w:val="num" w:pos="7504"/>
        </w:tabs>
        <w:ind w:left="7504" w:hanging="360"/>
      </w:pPr>
      <w:rPr>
        <w:rFonts w:ascii="Courier New" w:hAnsi="Courier New" w:hint="default"/>
        <w:sz w:val="20"/>
      </w:rPr>
    </w:lvl>
    <w:lvl w:ilvl="6" w:tentative="1">
      <w:start w:val="1"/>
      <w:numFmt w:val="bullet"/>
      <w:lvlText w:val="o"/>
      <w:lvlJc w:val="left"/>
      <w:pPr>
        <w:tabs>
          <w:tab w:val="num" w:pos="8224"/>
        </w:tabs>
        <w:ind w:left="8224" w:hanging="360"/>
      </w:pPr>
      <w:rPr>
        <w:rFonts w:ascii="Courier New" w:hAnsi="Courier New" w:hint="default"/>
        <w:sz w:val="20"/>
      </w:rPr>
    </w:lvl>
    <w:lvl w:ilvl="7" w:tentative="1">
      <w:start w:val="1"/>
      <w:numFmt w:val="bullet"/>
      <w:lvlText w:val="o"/>
      <w:lvlJc w:val="left"/>
      <w:pPr>
        <w:tabs>
          <w:tab w:val="num" w:pos="8944"/>
        </w:tabs>
        <w:ind w:left="8944" w:hanging="360"/>
      </w:pPr>
      <w:rPr>
        <w:rFonts w:ascii="Courier New" w:hAnsi="Courier New" w:hint="default"/>
        <w:sz w:val="20"/>
      </w:rPr>
    </w:lvl>
    <w:lvl w:ilvl="8" w:tentative="1">
      <w:start w:val="1"/>
      <w:numFmt w:val="bullet"/>
      <w:lvlText w:val="o"/>
      <w:lvlJc w:val="left"/>
      <w:pPr>
        <w:tabs>
          <w:tab w:val="num" w:pos="9664"/>
        </w:tabs>
        <w:ind w:left="9664" w:hanging="360"/>
      </w:pPr>
      <w:rPr>
        <w:rFonts w:ascii="Courier New" w:hAnsi="Courier New" w:hint="default"/>
        <w:sz w:val="20"/>
      </w:rPr>
    </w:lvl>
  </w:abstractNum>
  <w:abstractNum w:abstractNumId="4" w15:restartNumberingAfterBreak="0">
    <w:nsid w:val="548F3727"/>
    <w:multiLevelType w:val="multilevel"/>
    <w:tmpl w:val="34B2F98A"/>
    <w:lvl w:ilvl="0">
      <w:start w:val="1"/>
      <w:numFmt w:val="decimal"/>
      <w:lvlText w:val="%1."/>
      <w:lvlJc w:val="left"/>
      <w:pPr>
        <w:ind w:left="928" w:firstLine="568"/>
      </w:pPr>
      <w:rPr>
        <w:rFonts w:ascii="Times New Roman" w:eastAsia="Times New Roman" w:hAnsi="Times New Roman" w:cs="Times New Roman"/>
        <w:b w:val="0"/>
        <w:sz w:val="22"/>
        <w:szCs w:val="22"/>
      </w:rPr>
    </w:lvl>
    <w:lvl w:ilvl="1">
      <w:start w:val="1"/>
      <w:numFmt w:val="lowerLetter"/>
      <w:lvlText w:val="%2."/>
      <w:lvlJc w:val="left"/>
      <w:pPr>
        <w:ind w:left="1440" w:firstLine="1080"/>
      </w:pPr>
      <w:rPr>
        <w:rFonts w:ascii="Times New Roman" w:eastAsia="Times New Roman" w:hAnsi="Times New Roman" w:cs="Times New Roman"/>
      </w:rPr>
    </w:lvl>
    <w:lvl w:ilvl="2">
      <w:start w:val="1"/>
      <w:numFmt w:val="lowerRoman"/>
      <w:lvlText w:val="%3."/>
      <w:lvlJc w:val="right"/>
      <w:pPr>
        <w:ind w:left="2160" w:firstLine="1980"/>
      </w:pPr>
      <w:rPr>
        <w:rFonts w:ascii="Times New Roman" w:eastAsia="Times New Roman" w:hAnsi="Times New Roman" w:cs="Times New Roman"/>
      </w:rPr>
    </w:lvl>
    <w:lvl w:ilvl="3">
      <w:start w:val="1"/>
      <w:numFmt w:val="decimal"/>
      <w:lvlText w:val="%4."/>
      <w:lvlJc w:val="left"/>
      <w:pPr>
        <w:ind w:left="2880" w:firstLine="2520"/>
      </w:pPr>
      <w:rPr>
        <w:rFonts w:ascii="Times New Roman" w:eastAsia="Times New Roman" w:hAnsi="Times New Roman" w:cs="Times New Roman"/>
      </w:rPr>
    </w:lvl>
    <w:lvl w:ilvl="4">
      <w:start w:val="1"/>
      <w:numFmt w:val="lowerLetter"/>
      <w:lvlText w:val="%5."/>
      <w:lvlJc w:val="left"/>
      <w:pPr>
        <w:ind w:left="3600" w:firstLine="3240"/>
      </w:pPr>
      <w:rPr>
        <w:rFonts w:ascii="Times New Roman" w:eastAsia="Times New Roman" w:hAnsi="Times New Roman" w:cs="Times New Roman"/>
      </w:rPr>
    </w:lvl>
    <w:lvl w:ilvl="5">
      <w:start w:val="1"/>
      <w:numFmt w:val="lowerRoman"/>
      <w:lvlText w:val="%6."/>
      <w:lvlJc w:val="right"/>
      <w:pPr>
        <w:ind w:left="4320" w:firstLine="4140"/>
      </w:pPr>
      <w:rPr>
        <w:rFonts w:ascii="Times New Roman" w:eastAsia="Times New Roman" w:hAnsi="Times New Roman" w:cs="Times New Roman"/>
      </w:rPr>
    </w:lvl>
    <w:lvl w:ilvl="6">
      <w:start w:val="1"/>
      <w:numFmt w:val="decimal"/>
      <w:lvlText w:val="%7."/>
      <w:lvlJc w:val="left"/>
      <w:pPr>
        <w:ind w:left="5040" w:firstLine="4680"/>
      </w:pPr>
      <w:rPr>
        <w:rFonts w:ascii="Times New Roman" w:eastAsia="Times New Roman" w:hAnsi="Times New Roman" w:cs="Times New Roman"/>
      </w:rPr>
    </w:lvl>
    <w:lvl w:ilvl="7">
      <w:start w:val="1"/>
      <w:numFmt w:val="lowerLetter"/>
      <w:lvlText w:val="%8."/>
      <w:lvlJc w:val="left"/>
      <w:pPr>
        <w:ind w:left="5760" w:firstLine="5400"/>
      </w:pPr>
      <w:rPr>
        <w:rFonts w:ascii="Times New Roman" w:eastAsia="Times New Roman" w:hAnsi="Times New Roman" w:cs="Times New Roman"/>
      </w:rPr>
    </w:lvl>
    <w:lvl w:ilvl="8">
      <w:start w:val="1"/>
      <w:numFmt w:val="lowerRoman"/>
      <w:lvlText w:val="%9."/>
      <w:lvlJc w:val="right"/>
      <w:pPr>
        <w:ind w:left="6480" w:firstLine="6300"/>
      </w:pPr>
      <w:rPr>
        <w:rFonts w:ascii="Times New Roman" w:eastAsia="Times New Roman" w:hAnsi="Times New Roman" w:cs="Times New Roman"/>
      </w:rPr>
    </w:lvl>
  </w:abstractNum>
  <w:abstractNum w:abstractNumId="5" w15:restartNumberingAfterBreak="0">
    <w:nsid w:val="581F596D"/>
    <w:multiLevelType w:val="multilevel"/>
    <w:tmpl w:val="713CAD8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79587CE7"/>
    <w:multiLevelType w:val="multilevel"/>
    <w:tmpl w:val="1FDE118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F6"/>
    <w:rsid w:val="00001CD3"/>
    <w:rsid w:val="00001F4A"/>
    <w:rsid w:val="00002998"/>
    <w:rsid w:val="00013AFE"/>
    <w:rsid w:val="00017823"/>
    <w:rsid w:val="000213EF"/>
    <w:rsid w:val="00083DC6"/>
    <w:rsid w:val="00086392"/>
    <w:rsid w:val="00094E80"/>
    <w:rsid w:val="000965C1"/>
    <w:rsid w:val="00096C0F"/>
    <w:rsid w:val="000C0366"/>
    <w:rsid w:val="000C6CB9"/>
    <w:rsid w:val="000D2934"/>
    <w:rsid w:val="000F5ACA"/>
    <w:rsid w:val="00101415"/>
    <w:rsid w:val="00111C86"/>
    <w:rsid w:val="0011581E"/>
    <w:rsid w:val="00135C68"/>
    <w:rsid w:val="00145B95"/>
    <w:rsid w:val="00171D31"/>
    <w:rsid w:val="001813B1"/>
    <w:rsid w:val="00193AB8"/>
    <w:rsid w:val="001A08A8"/>
    <w:rsid w:val="001A2104"/>
    <w:rsid w:val="001B6CF6"/>
    <w:rsid w:val="001C009C"/>
    <w:rsid w:val="001C5975"/>
    <w:rsid w:val="001C7956"/>
    <w:rsid w:val="001D74D4"/>
    <w:rsid w:val="001F284F"/>
    <w:rsid w:val="001F76D8"/>
    <w:rsid w:val="00202255"/>
    <w:rsid w:val="0023750A"/>
    <w:rsid w:val="002544E2"/>
    <w:rsid w:val="00267139"/>
    <w:rsid w:val="00270F95"/>
    <w:rsid w:val="00283880"/>
    <w:rsid w:val="00296A71"/>
    <w:rsid w:val="002972E5"/>
    <w:rsid w:val="002976F1"/>
    <w:rsid w:val="002A0447"/>
    <w:rsid w:val="002B4E0C"/>
    <w:rsid w:val="002B7349"/>
    <w:rsid w:val="002C2732"/>
    <w:rsid w:val="002D1EB0"/>
    <w:rsid w:val="002E3300"/>
    <w:rsid w:val="00320E7A"/>
    <w:rsid w:val="00323181"/>
    <w:rsid w:val="003236F2"/>
    <w:rsid w:val="00324F55"/>
    <w:rsid w:val="00350B7D"/>
    <w:rsid w:val="0035151D"/>
    <w:rsid w:val="003541A8"/>
    <w:rsid w:val="00365F1C"/>
    <w:rsid w:val="003820E1"/>
    <w:rsid w:val="003B08C6"/>
    <w:rsid w:val="003B4104"/>
    <w:rsid w:val="003F413C"/>
    <w:rsid w:val="00404FF6"/>
    <w:rsid w:val="00434555"/>
    <w:rsid w:val="004413F9"/>
    <w:rsid w:val="004501BA"/>
    <w:rsid w:val="00450BA9"/>
    <w:rsid w:val="004521D6"/>
    <w:rsid w:val="00495699"/>
    <w:rsid w:val="004B3ECA"/>
    <w:rsid w:val="004B6F5C"/>
    <w:rsid w:val="004C15C2"/>
    <w:rsid w:val="005324E0"/>
    <w:rsid w:val="005343E8"/>
    <w:rsid w:val="00540FF6"/>
    <w:rsid w:val="005413F9"/>
    <w:rsid w:val="00555AA8"/>
    <w:rsid w:val="00561579"/>
    <w:rsid w:val="00572D23"/>
    <w:rsid w:val="005766EE"/>
    <w:rsid w:val="005D38DD"/>
    <w:rsid w:val="005E2B12"/>
    <w:rsid w:val="00600555"/>
    <w:rsid w:val="006052F8"/>
    <w:rsid w:val="00607393"/>
    <w:rsid w:val="006122AD"/>
    <w:rsid w:val="0064533C"/>
    <w:rsid w:val="00654068"/>
    <w:rsid w:val="00670F0B"/>
    <w:rsid w:val="006748C8"/>
    <w:rsid w:val="006B1E48"/>
    <w:rsid w:val="006B5DE5"/>
    <w:rsid w:val="006B79FF"/>
    <w:rsid w:val="006D0415"/>
    <w:rsid w:val="006E0C23"/>
    <w:rsid w:val="006E2215"/>
    <w:rsid w:val="006E4C90"/>
    <w:rsid w:val="006F56ED"/>
    <w:rsid w:val="006F7A55"/>
    <w:rsid w:val="00703873"/>
    <w:rsid w:val="00727017"/>
    <w:rsid w:val="0073331D"/>
    <w:rsid w:val="0073374A"/>
    <w:rsid w:val="00742956"/>
    <w:rsid w:val="00773126"/>
    <w:rsid w:val="007910D2"/>
    <w:rsid w:val="007C235A"/>
    <w:rsid w:val="007C6C7E"/>
    <w:rsid w:val="007D128C"/>
    <w:rsid w:val="007D1FB3"/>
    <w:rsid w:val="007D4C08"/>
    <w:rsid w:val="00805013"/>
    <w:rsid w:val="00810613"/>
    <w:rsid w:val="0082087E"/>
    <w:rsid w:val="00820B04"/>
    <w:rsid w:val="00821823"/>
    <w:rsid w:val="00822F8B"/>
    <w:rsid w:val="008259C4"/>
    <w:rsid w:val="008440D9"/>
    <w:rsid w:val="008558B1"/>
    <w:rsid w:val="0085698C"/>
    <w:rsid w:val="008578BB"/>
    <w:rsid w:val="008776B0"/>
    <w:rsid w:val="008921B3"/>
    <w:rsid w:val="008A195C"/>
    <w:rsid w:val="008A3BA7"/>
    <w:rsid w:val="008B7684"/>
    <w:rsid w:val="008E721D"/>
    <w:rsid w:val="00932BF1"/>
    <w:rsid w:val="00945CDD"/>
    <w:rsid w:val="00951CC2"/>
    <w:rsid w:val="00967A15"/>
    <w:rsid w:val="009737E1"/>
    <w:rsid w:val="00974A96"/>
    <w:rsid w:val="00975E75"/>
    <w:rsid w:val="00986B48"/>
    <w:rsid w:val="0099350E"/>
    <w:rsid w:val="009960F1"/>
    <w:rsid w:val="009C5B80"/>
    <w:rsid w:val="009D04EE"/>
    <w:rsid w:val="009D548F"/>
    <w:rsid w:val="009D7C1E"/>
    <w:rsid w:val="009E33C8"/>
    <w:rsid w:val="009E3B79"/>
    <w:rsid w:val="009F77B9"/>
    <w:rsid w:val="00A12BFC"/>
    <w:rsid w:val="00A16047"/>
    <w:rsid w:val="00A31CD5"/>
    <w:rsid w:val="00A32D4F"/>
    <w:rsid w:val="00A34DD6"/>
    <w:rsid w:val="00A473CB"/>
    <w:rsid w:val="00A9085C"/>
    <w:rsid w:val="00AA44C1"/>
    <w:rsid w:val="00AA74A3"/>
    <w:rsid w:val="00AB54C6"/>
    <w:rsid w:val="00AE0C38"/>
    <w:rsid w:val="00AE42A0"/>
    <w:rsid w:val="00AF06CF"/>
    <w:rsid w:val="00B42724"/>
    <w:rsid w:val="00B507C5"/>
    <w:rsid w:val="00B569FB"/>
    <w:rsid w:val="00B70045"/>
    <w:rsid w:val="00B722DE"/>
    <w:rsid w:val="00B760D0"/>
    <w:rsid w:val="00B86A59"/>
    <w:rsid w:val="00B86D26"/>
    <w:rsid w:val="00B95BEA"/>
    <w:rsid w:val="00BC5C20"/>
    <w:rsid w:val="00BF0926"/>
    <w:rsid w:val="00BF0DAA"/>
    <w:rsid w:val="00C0548A"/>
    <w:rsid w:val="00C11F89"/>
    <w:rsid w:val="00C3042A"/>
    <w:rsid w:val="00C443DC"/>
    <w:rsid w:val="00C466D3"/>
    <w:rsid w:val="00C568B2"/>
    <w:rsid w:val="00C652C1"/>
    <w:rsid w:val="00C65B01"/>
    <w:rsid w:val="00C67625"/>
    <w:rsid w:val="00C84861"/>
    <w:rsid w:val="00C91EC9"/>
    <w:rsid w:val="00C97745"/>
    <w:rsid w:val="00CB6792"/>
    <w:rsid w:val="00CC5402"/>
    <w:rsid w:val="00CD2F60"/>
    <w:rsid w:val="00CE18A2"/>
    <w:rsid w:val="00CE36DE"/>
    <w:rsid w:val="00D238CE"/>
    <w:rsid w:val="00D43CD5"/>
    <w:rsid w:val="00D51BAC"/>
    <w:rsid w:val="00D67E38"/>
    <w:rsid w:val="00D7781F"/>
    <w:rsid w:val="00DB4A69"/>
    <w:rsid w:val="00DB6C48"/>
    <w:rsid w:val="00DE4939"/>
    <w:rsid w:val="00DF19AA"/>
    <w:rsid w:val="00E11257"/>
    <w:rsid w:val="00E1274E"/>
    <w:rsid w:val="00E143B5"/>
    <w:rsid w:val="00E20E50"/>
    <w:rsid w:val="00E266C3"/>
    <w:rsid w:val="00E329F9"/>
    <w:rsid w:val="00E35F36"/>
    <w:rsid w:val="00E5164C"/>
    <w:rsid w:val="00E77602"/>
    <w:rsid w:val="00E82874"/>
    <w:rsid w:val="00E97C28"/>
    <w:rsid w:val="00EA05FE"/>
    <w:rsid w:val="00EB3392"/>
    <w:rsid w:val="00EC622D"/>
    <w:rsid w:val="00ED4FFB"/>
    <w:rsid w:val="00EE4902"/>
    <w:rsid w:val="00EF37B7"/>
    <w:rsid w:val="00F248D4"/>
    <w:rsid w:val="00F30226"/>
    <w:rsid w:val="00F34A90"/>
    <w:rsid w:val="00F44B8F"/>
    <w:rsid w:val="00F474F4"/>
    <w:rsid w:val="00F70AB9"/>
    <w:rsid w:val="00F718FA"/>
    <w:rsid w:val="00F76B3F"/>
    <w:rsid w:val="00F87AED"/>
    <w:rsid w:val="00FA6798"/>
    <w:rsid w:val="00FB106F"/>
    <w:rsid w:val="00FB2EF6"/>
    <w:rsid w:val="00FB5AB7"/>
    <w:rsid w:val="00FC3F8C"/>
    <w:rsid w:val="00FC7312"/>
    <w:rsid w:val="00FC7C63"/>
    <w:rsid w:val="00FD454B"/>
    <w:rsid w:val="00FD72C5"/>
    <w:rsid w:val="00FE706F"/>
    <w:rsid w:val="00FF7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D85D7-9FC6-45CC-8F5C-AC7CB3FB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1CC2"/>
    <w:pPr>
      <w:spacing w:after="0" w:line="240" w:lineRule="auto"/>
    </w:pPr>
    <w:rPr>
      <w:rFonts w:ascii="Times New Roman" w:eastAsia="Times New Roman" w:hAnsi="Times New Roman" w:cs="Times New Roman"/>
      <w:color w:val="000000"/>
      <w:sz w:val="20"/>
      <w:szCs w:val="20"/>
      <w:lang w:eastAsia="cs-CZ"/>
    </w:rPr>
  </w:style>
  <w:style w:type="paragraph" w:styleId="Nadpis1">
    <w:name w:val="heading 1"/>
    <w:basedOn w:val="Normln"/>
    <w:next w:val="Normln"/>
    <w:link w:val="Nadpis1Char"/>
    <w:qFormat/>
    <w:rsid w:val="00AE42A0"/>
    <w:pPr>
      <w:keepNext/>
      <w:jc w:val="both"/>
      <w:outlineLvl w:val="0"/>
    </w:pPr>
    <w:rPr>
      <w:b/>
      <w:bCs/>
      <w:color w:val="auto"/>
      <w:sz w:val="24"/>
      <w:szCs w:val="24"/>
    </w:rPr>
  </w:style>
  <w:style w:type="paragraph" w:styleId="Nadpis2">
    <w:name w:val="heading 2"/>
    <w:basedOn w:val="Normln"/>
    <w:next w:val="Normln"/>
    <w:link w:val="Nadpis2Char"/>
    <w:qFormat/>
    <w:rsid w:val="009D548F"/>
    <w:pPr>
      <w:keepNext/>
      <w:tabs>
        <w:tab w:val="num" w:pos="576"/>
      </w:tabs>
      <w:suppressAutoHyphens/>
      <w:overflowPunct w:val="0"/>
      <w:autoSpaceDE w:val="0"/>
      <w:ind w:left="576" w:hanging="576"/>
      <w:textAlignment w:val="baseline"/>
      <w:outlineLvl w:val="1"/>
    </w:pPr>
    <w:rPr>
      <w:color w:val="auto"/>
      <w:sz w:val="24"/>
      <w:lang w:eastAsia="zh-CN"/>
    </w:rPr>
  </w:style>
  <w:style w:type="paragraph" w:styleId="Nadpis3">
    <w:name w:val="heading 3"/>
    <w:basedOn w:val="Normln"/>
    <w:next w:val="Normln"/>
    <w:link w:val="Nadpis3Char"/>
    <w:uiPriority w:val="9"/>
    <w:unhideWhenUsed/>
    <w:qFormat/>
    <w:rsid w:val="00B569FB"/>
    <w:pPr>
      <w:keepNext/>
      <w:jc w:val="center"/>
      <w:outlineLvl w:val="2"/>
    </w:pPr>
    <w:rPr>
      <w:rFonts w:ascii="Arial" w:hAnsi="Arial" w:cs="Arial"/>
      <w:color w:val="auto"/>
      <w:sz w:val="28"/>
      <w:szCs w:val="28"/>
    </w:rPr>
  </w:style>
  <w:style w:type="paragraph" w:styleId="Nadpis4">
    <w:name w:val="heading 4"/>
    <w:basedOn w:val="Normln"/>
    <w:next w:val="Normln"/>
    <w:link w:val="Nadpis4Char"/>
    <w:uiPriority w:val="9"/>
    <w:unhideWhenUsed/>
    <w:qFormat/>
    <w:rsid w:val="00B86A59"/>
    <w:pPr>
      <w:keepNext/>
      <w:outlineLvl w:val="3"/>
    </w:pPr>
    <w:rPr>
      <w:rFonts w:asciiTheme="minorHAnsi" w:hAnsiTheme="minorHAnsi" w:cstheme="minorHAnsi"/>
      <w:b/>
      <w:bCs/>
      <w:sz w:val="28"/>
      <w:szCs w:val="28"/>
    </w:rPr>
  </w:style>
  <w:style w:type="paragraph" w:styleId="Nadpis5">
    <w:name w:val="heading 5"/>
    <w:basedOn w:val="Normln"/>
    <w:next w:val="Normln"/>
    <w:link w:val="Nadpis5Char"/>
    <w:uiPriority w:val="9"/>
    <w:unhideWhenUsed/>
    <w:qFormat/>
    <w:rsid w:val="00C11F89"/>
    <w:pPr>
      <w:keepNext/>
      <w:outlineLvl w:val="4"/>
    </w:pPr>
    <w:rPr>
      <w:rFonts w:ascii="Calibri" w:hAnsi="Calibri" w:cs="Calibri"/>
      <w:b/>
      <w:bCs/>
      <w:color w:val="auto"/>
      <w:sz w:val="24"/>
      <w:szCs w:val="24"/>
    </w:rPr>
  </w:style>
  <w:style w:type="paragraph" w:styleId="Nadpis6">
    <w:name w:val="heading 6"/>
    <w:basedOn w:val="Normln"/>
    <w:next w:val="Normln"/>
    <w:link w:val="Nadpis6Char"/>
    <w:uiPriority w:val="9"/>
    <w:unhideWhenUsed/>
    <w:qFormat/>
    <w:rsid w:val="00C11F89"/>
    <w:pPr>
      <w:keepNext/>
      <w:jc w:val="right"/>
      <w:outlineLvl w:val="5"/>
    </w:pPr>
    <w:rPr>
      <w:rFonts w:ascii="Calibri" w:hAnsi="Calibri" w:cs="Calibri"/>
      <w:b/>
      <w:sz w:val="22"/>
      <w:szCs w:val="22"/>
    </w:rPr>
  </w:style>
  <w:style w:type="paragraph" w:styleId="Nadpis7">
    <w:name w:val="heading 7"/>
    <w:basedOn w:val="Normln"/>
    <w:next w:val="Normln"/>
    <w:link w:val="Nadpis7Char"/>
    <w:uiPriority w:val="9"/>
    <w:unhideWhenUsed/>
    <w:qFormat/>
    <w:rsid w:val="0073374A"/>
    <w:pPr>
      <w:keepNext/>
      <w:outlineLvl w:val="6"/>
    </w:pPr>
    <w:rPr>
      <w:rFonts w:asciiTheme="minorHAnsi" w:hAnsiTheme="minorHAnsi" w:cstheme="minorHAnsi"/>
      <w:b/>
      <w:sz w:val="24"/>
      <w:szCs w:val="24"/>
    </w:rPr>
  </w:style>
  <w:style w:type="paragraph" w:styleId="Nadpis8">
    <w:name w:val="heading 8"/>
    <w:basedOn w:val="Normln"/>
    <w:next w:val="Normln"/>
    <w:link w:val="Nadpis8Char"/>
    <w:uiPriority w:val="9"/>
    <w:unhideWhenUsed/>
    <w:qFormat/>
    <w:rsid w:val="00296A71"/>
    <w:pPr>
      <w:keepNext/>
      <w:jc w:val="right"/>
      <w:outlineLvl w:val="7"/>
    </w:pPr>
    <w:rPr>
      <w:rFonts w:asciiTheme="minorHAnsi" w:hAnsiTheme="minorHAnsi" w:cstheme="minorHAns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FB2EF6"/>
    <w:pPr>
      <w:spacing w:after="0" w:line="240" w:lineRule="auto"/>
    </w:pPr>
    <w:rPr>
      <w:rFonts w:ascii="Times New Roman" w:eastAsia="Times New Roman" w:hAnsi="Times New Roman" w:cs="Times New Roman"/>
      <w:color w:val="000000"/>
      <w:sz w:val="20"/>
      <w:szCs w:val="20"/>
      <w:lang w:eastAsia="cs-CZ"/>
    </w:rPr>
  </w:style>
  <w:style w:type="character" w:customStyle="1" w:styleId="Nadpis1Char">
    <w:name w:val="Nadpis 1 Char"/>
    <w:basedOn w:val="Standardnpsmoodstavce"/>
    <w:link w:val="Nadpis1"/>
    <w:rsid w:val="00AE42A0"/>
    <w:rPr>
      <w:rFonts w:ascii="Times New Roman" w:eastAsia="Times New Roman" w:hAnsi="Times New Roman" w:cs="Times New Roman"/>
      <w:b/>
      <w:bCs/>
      <w:sz w:val="24"/>
      <w:szCs w:val="24"/>
      <w:lang w:eastAsia="cs-CZ"/>
    </w:rPr>
  </w:style>
  <w:style w:type="paragraph" w:styleId="Nzev">
    <w:name w:val="Title"/>
    <w:basedOn w:val="Normln"/>
    <w:link w:val="NzevChar"/>
    <w:qFormat/>
    <w:rsid w:val="00AE42A0"/>
    <w:pPr>
      <w:jc w:val="center"/>
    </w:pPr>
    <w:rPr>
      <w:b/>
      <w:bCs/>
      <w:color w:val="auto"/>
      <w:sz w:val="32"/>
      <w:szCs w:val="24"/>
    </w:rPr>
  </w:style>
  <w:style w:type="character" w:customStyle="1" w:styleId="NzevChar">
    <w:name w:val="Název Char"/>
    <w:basedOn w:val="Standardnpsmoodstavce"/>
    <w:link w:val="Nzev"/>
    <w:rsid w:val="00AE42A0"/>
    <w:rPr>
      <w:rFonts w:ascii="Times New Roman" w:eastAsia="Times New Roman" w:hAnsi="Times New Roman" w:cs="Times New Roman"/>
      <w:b/>
      <w:bCs/>
      <w:sz w:val="32"/>
      <w:szCs w:val="24"/>
      <w:lang w:eastAsia="cs-CZ"/>
    </w:rPr>
  </w:style>
  <w:style w:type="paragraph" w:customStyle="1" w:styleId="western">
    <w:name w:val="western"/>
    <w:basedOn w:val="Normln"/>
    <w:rsid w:val="00AE42A0"/>
    <w:pPr>
      <w:suppressAutoHyphens/>
      <w:spacing w:before="280" w:after="119"/>
    </w:pPr>
    <w:rPr>
      <w:sz w:val="24"/>
      <w:szCs w:val="24"/>
      <w:lang w:eastAsia="zh-CN"/>
    </w:rPr>
  </w:style>
  <w:style w:type="character" w:customStyle="1" w:styleId="Nadpis2Char">
    <w:name w:val="Nadpis 2 Char"/>
    <w:basedOn w:val="Standardnpsmoodstavce"/>
    <w:link w:val="Nadpis2"/>
    <w:rsid w:val="009D548F"/>
    <w:rPr>
      <w:rFonts w:ascii="Times New Roman" w:eastAsia="Times New Roman" w:hAnsi="Times New Roman" w:cs="Times New Roman"/>
      <w:sz w:val="24"/>
      <w:szCs w:val="20"/>
      <w:lang w:eastAsia="zh-CN"/>
    </w:rPr>
  </w:style>
  <w:style w:type="paragraph" w:styleId="Zkladntext">
    <w:name w:val="Body Text"/>
    <w:basedOn w:val="Normln"/>
    <w:link w:val="ZkladntextChar"/>
    <w:rsid w:val="009D548F"/>
    <w:pPr>
      <w:suppressAutoHyphens/>
      <w:overflowPunct w:val="0"/>
      <w:autoSpaceDE w:val="0"/>
      <w:textAlignment w:val="baseline"/>
    </w:pPr>
    <w:rPr>
      <w:color w:val="auto"/>
      <w:sz w:val="24"/>
      <w:lang w:eastAsia="zh-CN"/>
    </w:rPr>
  </w:style>
  <w:style w:type="character" w:customStyle="1" w:styleId="ZkladntextChar">
    <w:name w:val="Základní text Char"/>
    <w:basedOn w:val="Standardnpsmoodstavce"/>
    <w:link w:val="Zkladntext"/>
    <w:rsid w:val="009D548F"/>
    <w:rPr>
      <w:rFonts w:ascii="Times New Roman" w:eastAsia="Times New Roman" w:hAnsi="Times New Roman" w:cs="Times New Roman"/>
      <w:sz w:val="24"/>
      <w:szCs w:val="20"/>
      <w:lang w:eastAsia="zh-CN"/>
    </w:rPr>
  </w:style>
  <w:style w:type="paragraph" w:styleId="Zhlav">
    <w:name w:val="header"/>
    <w:basedOn w:val="Normln"/>
    <w:link w:val="ZhlavChar"/>
    <w:uiPriority w:val="99"/>
    <w:unhideWhenUsed/>
    <w:rsid w:val="00DB4A69"/>
    <w:pPr>
      <w:tabs>
        <w:tab w:val="center" w:pos="4536"/>
        <w:tab w:val="right" w:pos="9072"/>
      </w:tabs>
    </w:pPr>
  </w:style>
  <w:style w:type="character" w:customStyle="1" w:styleId="ZhlavChar">
    <w:name w:val="Záhlaví Char"/>
    <w:basedOn w:val="Standardnpsmoodstavce"/>
    <w:link w:val="Zhlav"/>
    <w:uiPriority w:val="99"/>
    <w:rsid w:val="00DB4A69"/>
    <w:rPr>
      <w:rFonts w:ascii="Times New Roman" w:eastAsia="Times New Roman" w:hAnsi="Times New Roman" w:cs="Times New Roman"/>
      <w:color w:val="000000"/>
      <w:sz w:val="20"/>
      <w:szCs w:val="20"/>
      <w:lang w:eastAsia="cs-CZ"/>
    </w:rPr>
  </w:style>
  <w:style w:type="paragraph" w:styleId="Zpat">
    <w:name w:val="footer"/>
    <w:basedOn w:val="Normln"/>
    <w:link w:val="ZpatChar"/>
    <w:uiPriority w:val="99"/>
    <w:unhideWhenUsed/>
    <w:rsid w:val="00DB4A69"/>
    <w:pPr>
      <w:tabs>
        <w:tab w:val="center" w:pos="4536"/>
        <w:tab w:val="right" w:pos="9072"/>
      </w:tabs>
    </w:pPr>
  </w:style>
  <w:style w:type="character" w:customStyle="1" w:styleId="ZpatChar">
    <w:name w:val="Zápatí Char"/>
    <w:basedOn w:val="Standardnpsmoodstavce"/>
    <w:link w:val="Zpat"/>
    <w:uiPriority w:val="99"/>
    <w:rsid w:val="00DB4A69"/>
    <w:rPr>
      <w:rFonts w:ascii="Times New Roman" w:eastAsia="Times New Roman" w:hAnsi="Times New Roman" w:cs="Times New Roman"/>
      <w:color w:val="000000"/>
      <w:sz w:val="20"/>
      <w:szCs w:val="20"/>
      <w:lang w:eastAsia="cs-CZ"/>
    </w:rPr>
  </w:style>
  <w:style w:type="paragraph" w:styleId="Normlnweb">
    <w:name w:val="Normal (Web)"/>
    <w:basedOn w:val="Normln"/>
    <w:uiPriority w:val="99"/>
    <w:unhideWhenUsed/>
    <w:qFormat/>
    <w:rsid w:val="009960F1"/>
    <w:pPr>
      <w:spacing w:before="100" w:beforeAutospacing="1" w:after="100" w:afterAutospacing="1"/>
    </w:pPr>
    <w:rPr>
      <w:rFonts w:eastAsia="Calibri"/>
      <w:color w:val="auto"/>
      <w:sz w:val="24"/>
      <w:szCs w:val="24"/>
    </w:rPr>
  </w:style>
  <w:style w:type="character" w:styleId="Siln">
    <w:name w:val="Strong"/>
    <w:basedOn w:val="Standardnpsmoodstavce"/>
    <w:uiPriority w:val="22"/>
    <w:qFormat/>
    <w:rsid w:val="004C15C2"/>
    <w:rPr>
      <w:b/>
      <w:bCs/>
    </w:rPr>
  </w:style>
  <w:style w:type="paragraph" w:styleId="Odstavecseseznamem">
    <w:name w:val="List Paragraph"/>
    <w:basedOn w:val="Normln"/>
    <w:uiPriority w:val="34"/>
    <w:qFormat/>
    <w:rsid w:val="008A3BA7"/>
    <w:pPr>
      <w:ind w:left="720"/>
      <w:contextualSpacing/>
    </w:pPr>
  </w:style>
  <w:style w:type="paragraph" w:styleId="Textbubliny">
    <w:name w:val="Balloon Text"/>
    <w:basedOn w:val="Normln"/>
    <w:link w:val="TextbublinyChar"/>
    <w:uiPriority w:val="99"/>
    <w:semiHidden/>
    <w:unhideWhenUsed/>
    <w:rsid w:val="000029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998"/>
    <w:rPr>
      <w:rFonts w:ascii="Segoe UI" w:eastAsia="Times New Roman" w:hAnsi="Segoe UI" w:cs="Segoe UI"/>
      <w:color w:val="000000"/>
      <w:sz w:val="18"/>
      <w:szCs w:val="18"/>
      <w:lang w:eastAsia="cs-CZ"/>
    </w:rPr>
  </w:style>
  <w:style w:type="paragraph" w:customStyle="1" w:styleId="LO-normal">
    <w:name w:val="LO-normal"/>
    <w:uiPriority w:val="99"/>
    <w:qFormat/>
    <w:rsid w:val="006B79FF"/>
    <w:pPr>
      <w:suppressAutoHyphens/>
      <w:spacing w:after="0" w:line="240" w:lineRule="auto"/>
    </w:pPr>
    <w:rPr>
      <w:rFonts w:ascii="Times New Roman" w:eastAsia="Times New Roman" w:hAnsi="Times New Roman" w:cs="Times New Roman"/>
      <w:color w:val="000000"/>
      <w:sz w:val="20"/>
      <w:szCs w:val="20"/>
      <w:lang w:eastAsia="cs-CZ"/>
    </w:rPr>
  </w:style>
  <w:style w:type="paragraph" w:styleId="Prosttext">
    <w:name w:val="Plain Text"/>
    <w:basedOn w:val="Normln"/>
    <w:link w:val="ProsttextChar"/>
    <w:uiPriority w:val="99"/>
    <w:semiHidden/>
    <w:unhideWhenUsed/>
    <w:rsid w:val="00F248D4"/>
    <w:rPr>
      <w:rFonts w:ascii="Calibri" w:eastAsiaTheme="minorHAnsi" w:hAnsi="Calibri" w:cstheme="minorBidi"/>
      <w:color w:val="auto"/>
      <w:sz w:val="22"/>
      <w:szCs w:val="21"/>
      <w:lang w:eastAsia="en-US"/>
    </w:rPr>
  </w:style>
  <w:style w:type="character" w:customStyle="1" w:styleId="ProsttextChar">
    <w:name w:val="Prostý text Char"/>
    <w:basedOn w:val="Standardnpsmoodstavce"/>
    <w:link w:val="Prosttext"/>
    <w:uiPriority w:val="99"/>
    <w:semiHidden/>
    <w:rsid w:val="00F248D4"/>
    <w:rPr>
      <w:rFonts w:ascii="Calibri" w:hAnsi="Calibri"/>
      <w:szCs w:val="21"/>
    </w:rPr>
  </w:style>
  <w:style w:type="character" w:customStyle="1" w:styleId="Nadpis3Char">
    <w:name w:val="Nadpis 3 Char"/>
    <w:basedOn w:val="Standardnpsmoodstavce"/>
    <w:link w:val="Nadpis3"/>
    <w:uiPriority w:val="9"/>
    <w:rsid w:val="00B569FB"/>
    <w:rPr>
      <w:rFonts w:ascii="Arial" w:eastAsia="Times New Roman" w:hAnsi="Arial" w:cs="Arial"/>
      <w:sz w:val="28"/>
      <w:szCs w:val="28"/>
      <w:lang w:eastAsia="cs-CZ"/>
    </w:rPr>
  </w:style>
  <w:style w:type="character" w:customStyle="1" w:styleId="Nadpis4Char">
    <w:name w:val="Nadpis 4 Char"/>
    <w:basedOn w:val="Standardnpsmoodstavce"/>
    <w:link w:val="Nadpis4"/>
    <w:uiPriority w:val="9"/>
    <w:rsid w:val="00B86A59"/>
    <w:rPr>
      <w:rFonts w:eastAsia="Times New Roman" w:cstheme="minorHAnsi"/>
      <w:b/>
      <w:bCs/>
      <w:color w:val="000000"/>
      <w:sz w:val="28"/>
      <w:szCs w:val="28"/>
      <w:lang w:eastAsia="cs-CZ"/>
    </w:rPr>
  </w:style>
  <w:style w:type="character" w:customStyle="1" w:styleId="Nadpis5Char">
    <w:name w:val="Nadpis 5 Char"/>
    <w:basedOn w:val="Standardnpsmoodstavce"/>
    <w:link w:val="Nadpis5"/>
    <w:uiPriority w:val="9"/>
    <w:rsid w:val="00C11F89"/>
    <w:rPr>
      <w:rFonts w:ascii="Calibri" w:eastAsia="Times New Roman" w:hAnsi="Calibri" w:cs="Calibri"/>
      <w:b/>
      <w:bCs/>
      <w:sz w:val="24"/>
      <w:szCs w:val="24"/>
      <w:lang w:eastAsia="cs-CZ"/>
    </w:rPr>
  </w:style>
  <w:style w:type="character" w:customStyle="1" w:styleId="Nadpis6Char">
    <w:name w:val="Nadpis 6 Char"/>
    <w:basedOn w:val="Standardnpsmoodstavce"/>
    <w:link w:val="Nadpis6"/>
    <w:uiPriority w:val="9"/>
    <w:rsid w:val="00C11F89"/>
    <w:rPr>
      <w:rFonts w:ascii="Calibri" w:eastAsia="Times New Roman" w:hAnsi="Calibri" w:cs="Calibri"/>
      <w:b/>
      <w:color w:val="000000"/>
      <w:lang w:eastAsia="cs-CZ"/>
    </w:rPr>
  </w:style>
  <w:style w:type="character" w:customStyle="1" w:styleId="Nadpis7Char">
    <w:name w:val="Nadpis 7 Char"/>
    <w:basedOn w:val="Standardnpsmoodstavce"/>
    <w:link w:val="Nadpis7"/>
    <w:uiPriority w:val="9"/>
    <w:rsid w:val="0073374A"/>
    <w:rPr>
      <w:rFonts w:eastAsia="Times New Roman" w:cstheme="minorHAnsi"/>
      <w:b/>
      <w:color w:val="000000"/>
      <w:sz w:val="24"/>
      <w:szCs w:val="24"/>
      <w:lang w:eastAsia="cs-CZ"/>
    </w:rPr>
  </w:style>
  <w:style w:type="character" w:customStyle="1" w:styleId="Nadpis8Char">
    <w:name w:val="Nadpis 8 Char"/>
    <w:basedOn w:val="Standardnpsmoodstavce"/>
    <w:link w:val="Nadpis8"/>
    <w:uiPriority w:val="9"/>
    <w:rsid w:val="00296A71"/>
    <w:rPr>
      <w:rFonts w:eastAsia="Times New Roman" w:cstheme="minorHAnsi"/>
      <w:b/>
      <w:color w:val="000000"/>
      <w:sz w:val="24"/>
      <w:szCs w:val="24"/>
      <w:lang w:eastAsia="cs-CZ"/>
    </w:rPr>
  </w:style>
  <w:style w:type="paragraph" w:styleId="Zkladntextodsazen">
    <w:name w:val="Body Text Indent"/>
    <w:basedOn w:val="Normln"/>
    <w:link w:val="ZkladntextodsazenChar"/>
    <w:uiPriority w:val="99"/>
    <w:semiHidden/>
    <w:unhideWhenUsed/>
    <w:rsid w:val="002D1EB0"/>
    <w:pPr>
      <w:spacing w:after="120"/>
      <w:ind w:left="283"/>
    </w:pPr>
  </w:style>
  <w:style w:type="character" w:customStyle="1" w:styleId="ZkladntextodsazenChar">
    <w:name w:val="Základní text odsazený Char"/>
    <w:basedOn w:val="Standardnpsmoodstavce"/>
    <w:link w:val="Zkladntextodsazen"/>
    <w:uiPriority w:val="99"/>
    <w:semiHidden/>
    <w:rsid w:val="002D1EB0"/>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32">
      <w:bodyDiv w:val="1"/>
      <w:marLeft w:val="0"/>
      <w:marRight w:val="0"/>
      <w:marTop w:val="0"/>
      <w:marBottom w:val="0"/>
      <w:divBdr>
        <w:top w:val="none" w:sz="0" w:space="0" w:color="auto"/>
        <w:left w:val="none" w:sz="0" w:space="0" w:color="auto"/>
        <w:bottom w:val="none" w:sz="0" w:space="0" w:color="auto"/>
        <w:right w:val="none" w:sz="0" w:space="0" w:color="auto"/>
      </w:divBdr>
    </w:div>
    <w:div w:id="83845396">
      <w:bodyDiv w:val="1"/>
      <w:marLeft w:val="0"/>
      <w:marRight w:val="0"/>
      <w:marTop w:val="0"/>
      <w:marBottom w:val="0"/>
      <w:divBdr>
        <w:top w:val="none" w:sz="0" w:space="0" w:color="auto"/>
        <w:left w:val="none" w:sz="0" w:space="0" w:color="auto"/>
        <w:bottom w:val="none" w:sz="0" w:space="0" w:color="auto"/>
        <w:right w:val="none" w:sz="0" w:space="0" w:color="auto"/>
      </w:divBdr>
    </w:div>
    <w:div w:id="97337462">
      <w:bodyDiv w:val="1"/>
      <w:marLeft w:val="0"/>
      <w:marRight w:val="0"/>
      <w:marTop w:val="0"/>
      <w:marBottom w:val="0"/>
      <w:divBdr>
        <w:top w:val="none" w:sz="0" w:space="0" w:color="auto"/>
        <w:left w:val="none" w:sz="0" w:space="0" w:color="auto"/>
        <w:bottom w:val="none" w:sz="0" w:space="0" w:color="auto"/>
        <w:right w:val="none" w:sz="0" w:space="0" w:color="auto"/>
      </w:divBdr>
    </w:div>
    <w:div w:id="265697733">
      <w:bodyDiv w:val="1"/>
      <w:marLeft w:val="0"/>
      <w:marRight w:val="0"/>
      <w:marTop w:val="0"/>
      <w:marBottom w:val="0"/>
      <w:divBdr>
        <w:top w:val="none" w:sz="0" w:space="0" w:color="auto"/>
        <w:left w:val="none" w:sz="0" w:space="0" w:color="auto"/>
        <w:bottom w:val="none" w:sz="0" w:space="0" w:color="auto"/>
        <w:right w:val="none" w:sz="0" w:space="0" w:color="auto"/>
      </w:divBdr>
    </w:div>
    <w:div w:id="385105053">
      <w:bodyDiv w:val="1"/>
      <w:marLeft w:val="0"/>
      <w:marRight w:val="0"/>
      <w:marTop w:val="0"/>
      <w:marBottom w:val="0"/>
      <w:divBdr>
        <w:top w:val="none" w:sz="0" w:space="0" w:color="auto"/>
        <w:left w:val="none" w:sz="0" w:space="0" w:color="auto"/>
        <w:bottom w:val="none" w:sz="0" w:space="0" w:color="auto"/>
        <w:right w:val="none" w:sz="0" w:space="0" w:color="auto"/>
      </w:divBdr>
    </w:div>
    <w:div w:id="393043424">
      <w:bodyDiv w:val="1"/>
      <w:marLeft w:val="0"/>
      <w:marRight w:val="0"/>
      <w:marTop w:val="0"/>
      <w:marBottom w:val="0"/>
      <w:divBdr>
        <w:top w:val="none" w:sz="0" w:space="0" w:color="auto"/>
        <w:left w:val="none" w:sz="0" w:space="0" w:color="auto"/>
        <w:bottom w:val="none" w:sz="0" w:space="0" w:color="auto"/>
        <w:right w:val="none" w:sz="0" w:space="0" w:color="auto"/>
      </w:divBdr>
    </w:div>
    <w:div w:id="415327973">
      <w:bodyDiv w:val="1"/>
      <w:marLeft w:val="0"/>
      <w:marRight w:val="0"/>
      <w:marTop w:val="0"/>
      <w:marBottom w:val="0"/>
      <w:divBdr>
        <w:top w:val="none" w:sz="0" w:space="0" w:color="auto"/>
        <w:left w:val="none" w:sz="0" w:space="0" w:color="auto"/>
        <w:bottom w:val="none" w:sz="0" w:space="0" w:color="auto"/>
        <w:right w:val="none" w:sz="0" w:space="0" w:color="auto"/>
      </w:divBdr>
    </w:div>
    <w:div w:id="429198547">
      <w:bodyDiv w:val="1"/>
      <w:marLeft w:val="0"/>
      <w:marRight w:val="0"/>
      <w:marTop w:val="0"/>
      <w:marBottom w:val="0"/>
      <w:divBdr>
        <w:top w:val="none" w:sz="0" w:space="0" w:color="auto"/>
        <w:left w:val="none" w:sz="0" w:space="0" w:color="auto"/>
        <w:bottom w:val="none" w:sz="0" w:space="0" w:color="auto"/>
        <w:right w:val="none" w:sz="0" w:space="0" w:color="auto"/>
      </w:divBdr>
    </w:div>
    <w:div w:id="429786102">
      <w:bodyDiv w:val="1"/>
      <w:marLeft w:val="0"/>
      <w:marRight w:val="0"/>
      <w:marTop w:val="0"/>
      <w:marBottom w:val="0"/>
      <w:divBdr>
        <w:top w:val="none" w:sz="0" w:space="0" w:color="auto"/>
        <w:left w:val="none" w:sz="0" w:space="0" w:color="auto"/>
        <w:bottom w:val="none" w:sz="0" w:space="0" w:color="auto"/>
        <w:right w:val="none" w:sz="0" w:space="0" w:color="auto"/>
      </w:divBdr>
    </w:div>
    <w:div w:id="519440404">
      <w:bodyDiv w:val="1"/>
      <w:marLeft w:val="0"/>
      <w:marRight w:val="0"/>
      <w:marTop w:val="0"/>
      <w:marBottom w:val="0"/>
      <w:divBdr>
        <w:top w:val="none" w:sz="0" w:space="0" w:color="auto"/>
        <w:left w:val="none" w:sz="0" w:space="0" w:color="auto"/>
        <w:bottom w:val="none" w:sz="0" w:space="0" w:color="auto"/>
        <w:right w:val="none" w:sz="0" w:space="0" w:color="auto"/>
      </w:divBdr>
    </w:div>
    <w:div w:id="541789317">
      <w:bodyDiv w:val="1"/>
      <w:marLeft w:val="0"/>
      <w:marRight w:val="0"/>
      <w:marTop w:val="0"/>
      <w:marBottom w:val="0"/>
      <w:divBdr>
        <w:top w:val="none" w:sz="0" w:space="0" w:color="auto"/>
        <w:left w:val="none" w:sz="0" w:space="0" w:color="auto"/>
        <w:bottom w:val="none" w:sz="0" w:space="0" w:color="auto"/>
        <w:right w:val="none" w:sz="0" w:space="0" w:color="auto"/>
      </w:divBdr>
    </w:div>
    <w:div w:id="543367534">
      <w:bodyDiv w:val="1"/>
      <w:marLeft w:val="0"/>
      <w:marRight w:val="0"/>
      <w:marTop w:val="0"/>
      <w:marBottom w:val="0"/>
      <w:divBdr>
        <w:top w:val="none" w:sz="0" w:space="0" w:color="auto"/>
        <w:left w:val="none" w:sz="0" w:space="0" w:color="auto"/>
        <w:bottom w:val="none" w:sz="0" w:space="0" w:color="auto"/>
        <w:right w:val="none" w:sz="0" w:space="0" w:color="auto"/>
      </w:divBdr>
    </w:div>
    <w:div w:id="548300934">
      <w:bodyDiv w:val="1"/>
      <w:marLeft w:val="0"/>
      <w:marRight w:val="0"/>
      <w:marTop w:val="0"/>
      <w:marBottom w:val="0"/>
      <w:divBdr>
        <w:top w:val="none" w:sz="0" w:space="0" w:color="auto"/>
        <w:left w:val="none" w:sz="0" w:space="0" w:color="auto"/>
        <w:bottom w:val="none" w:sz="0" w:space="0" w:color="auto"/>
        <w:right w:val="none" w:sz="0" w:space="0" w:color="auto"/>
      </w:divBdr>
    </w:div>
    <w:div w:id="666249456">
      <w:bodyDiv w:val="1"/>
      <w:marLeft w:val="0"/>
      <w:marRight w:val="0"/>
      <w:marTop w:val="0"/>
      <w:marBottom w:val="0"/>
      <w:divBdr>
        <w:top w:val="none" w:sz="0" w:space="0" w:color="auto"/>
        <w:left w:val="none" w:sz="0" w:space="0" w:color="auto"/>
        <w:bottom w:val="none" w:sz="0" w:space="0" w:color="auto"/>
        <w:right w:val="none" w:sz="0" w:space="0" w:color="auto"/>
      </w:divBdr>
    </w:div>
    <w:div w:id="675689334">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848102038">
      <w:bodyDiv w:val="1"/>
      <w:marLeft w:val="0"/>
      <w:marRight w:val="0"/>
      <w:marTop w:val="0"/>
      <w:marBottom w:val="0"/>
      <w:divBdr>
        <w:top w:val="none" w:sz="0" w:space="0" w:color="auto"/>
        <w:left w:val="none" w:sz="0" w:space="0" w:color="auto"/>
        <w:bottom w:val="none" w:sz="0" w:space="0" w:color="auto"/>
        <w:right w:val="none" w:sz="0" w:space="0" w:color="auto"/>
      </w:divBdr>
    </w:div>
    <w:div w:id="958419453">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062751306">
      <w:bodyDiv w:val="1"/>
      <w:marLeft w:val="0"/>
      <w:marRight w:val="0"/>
      <w:marTop w:val="0"/>
      <w:marBottom w:val="0"/>
      <w:divBdr>
        <w:top w:val="none" w:sz="0" w:space="0" w:color="auto"/>
        <w:left w:val="none" w:sz="0" w:space="0" w:color="auto"/>
        <w:bottom w:val="none" w:sz="0" w:space="0" w:color="auto"/>
        <w:right w:val="none" w:sz="0" w:space="0" w:color="auto"/>
      </w:divBdr>
    </w:div>
    <w:div w:id="1105349741">
      <w:bodyDiv w:val="1"/>
      <w:marLeft w:val="0"/>
      <w:marRight w:val="0"/>
      <w:marTop w:val="0"/>
      <w:marBottom w:val="0"/>
      <w:divBdr>
        <w:top w:val="none" w:sz="0" w:space="0" w:color="auto"/>
        <w:left w:val="none" w:sz="0" w:space="0" w:color="auto"/>
        <w:bottom w:val="none" w:sz="0" w:space="0" w:color="auto"/>
        <w:right w:val="none" w:sz="0" w:space="0" w:color="auto"/>
      </w:divBdr>
    </w:div>
    <w:div w:id="1133403568">
      <w:bodyDiv w:val="1"/>
      <w:marLeft w:val="0"/>
      <w:marRight w:val="0"/>
      <w:marTop w:val="0"/>
      <w:marBottom w:val="0"/>
      <w:divBdr>
        <w:top w:val="none" w:sz="0" w:space="0" w:color="auto"/>
        <w:left w:val="none" w:sz="0" w:space="0" w:color="auto"/>
        <w:bottom w:val="none" w:sz="0" w:space="0" w:color="auto"/>
        <w:right w:val="none" w:sz="0" w:space="0" w:color="auto"/>
      </w:divBdr>
    </w:div>
    <w:div w:id="1190681158">
      <w:bodyDiv w:val="1"/>
      <w:marLeft w:val="0"/>
      <w:marRight w:val="0"/>
      <w:marTop w:val="0"/>
      <w:marBottom w:val="0"/>
      <w:divBdr>
        <w:top w:val="none" w:sz="0" w:space="0" w:color="auto"/>
        <w:left w:val="none" w:sz="0" w:space="0" w:color="auto"/>
        <w:bottom w:val="none" w:sz="0" w:space="0" w:color="auto"/>
        <w:right w:val="none" w:sz="0" w:space="0" w:color="auto"/>
      </w:divBdr>
    </w:div>
    <w:div w:id="1233195881">
      <w:bodyDiv w:val="1"/>
      <w:marLeft w:val="0"/>
      <w:marRight w:val="0"/>
      <w:marTop w:val="0"/>
      <w:marBottom w:val="0"/>
      <w:divBdr>
        <w:top w:val="none" w:sz="0" w:space="0" w:color="auto"/>
        <w:left w:val="none" w:sz="0" w:space="0" w:color="auto"/>
        <w:bottom w:val="none" w:sz="0" w:space="0" w:color="auto"/>
        <w:right w:val="none" w:sz="0" w:space="0" w:color="auto"/>
      </w:divBdr>
    </w:div>
    <w:div w:id="1284847936">
      <w:bodyDiv w:val="1"/>
      <w:marLeft w:val="0"/>
      <w:marRight w:val="0"/>
      <w:marTop w:val="0"/>
      <w:marBottom w:val="0"/>
      <w:divBdr>
        <w:top w:val="none" w:sz="0" w:space="0" w:color="auto"/>
        <w:left w:val="none" w:sz="0" w:space="0" w:color="auto"/>
        <w:bottom w:val="none" w:sz="0" w:space="0" w:color="auto"/>
        <w:right w:val="none" w:sz="0" w:space="0" w:color="auto"/>
      </w:divBdr>
    </w:div>
    <w:div w:id="1302225262">
      <w:bodyDiv w:val="1"/>
      <w:marLeft w:val="0"/>
      <w:marRight w:val="0"/>
      <w:marTop w:val="0"/>
      <w:marBottom w:val="0"/>
      <w:divBdr>
        <w:top w:val="none" w:sz="0" w:space="0" w:color="auto"/>
        <w:left w:val="none" w:sz="0" w:space="0" w:color="auto"/>
        <w:bottom w:val="none" w:sz="0" w:space="0" w:color="auto"/>
        <w:right w:val="none" w:sz="0" w:space="0" w:color="auto"/>
      </w:divBdr>
    </w:div>
    <w:div w:id="1318152019">
      <w:bodyDiv w:val="1"/>
      <w:marLeft w:val="0"/>
      <w:marRight w:val="0"/>
      <w:marTop w:val="0"/>
      <w:marBottom w:val="0"/>
      <w:divBdr>
        <w:top w:val="none" w:sz="0" w:space="0" w:color="auto"/>
        <w:left w:val="none" w:sz="0" w:space="0" w:color="auto"/>
        <w:bottom w:val="none" w:sz="0" w:space="0" w:color="auto"/>
        <w:right w:val="none" w:sz="0" w:space="0" w:color="auto"/>
      </w:divBdr>
    </w:div>
    <w:div w:id="1325401686">
      <w:bodyDiv w:val="1"/>
      <w:marLeft w:val="0"/>
      <w:marRight w:val="0"/>
      <w:marTop w:val="0"/>
      <w:marBottom w:val="0"/>
      <w:divBdr>
        <w:top w:val="none" w:sz="0" w:space="0" w:color="auto"/>
        <w:left w:val="none" w:sz="0" w:space="0" w:color="auto"/>
        <w:bottom w:val="none" w:sz="0" w:space="0" w:color="auto"/>
        <w:right w:val="none" w:sz="0" w:space="0" w:color="auto"/>
      </w:divBdr>
    </w:div>
    <w:div w:id="1334990439">
      <w:bodyDiv w:val="1"/>
      <w:marLeft w:val="0"/>
      <w:marRight w:val="0"/>
      <w:marTop w:val="0"/>
      <w:marBottom w:val="0"/>
      <w:divBdr>
        <w:top w:val="none" w:sz="0" w:space="0" w:color="auto"/>
        <w:left w:val="none" w:sz="0" w:space="0" w:color="auto"/>
        <w:bottom w:val="none" w:sz="0" w:space="0" w:color="auto"/>
        <w:right w:val="none" w:sz="0" w:space="0" w:color="auto"/>
      </w:divBdr>
    </w:div>
    <w:div w:id="1339385817">
      <w:bodyDiv w:val="1"/>
      <w:marLeft w:val="0"/>
      <w:marRight w:val="0"/>
      <w:marTop w:val="0"/>
      <w:marBottom w:val="0"/>
      <w:divBdr>
        <w:top w:val="none" w:sz="0" w:space="0" w:color="auto"/>
        <w:left w:val="none" w:sz="0" w:space="0" w:color="auto"/>
        <w:bottom w:val="none" w:sz="0" w:space="0" w:color="auto"/>
        <w:right w:val="none" w:sz="0" w:space="0" w:color="auto"/>
      </w:divBdr>
    </w:div>
    <w:div w:id="1355226985">
      <w:bodyDiv w:val="1"/>
      <w:marLeft w:val="0"/>
      <w:marRight w:val="0"/>
      <w:marTop w:val="0"/>
      <w:marBottom w:val="0"/>
      <w:divBdr>
        <w:top w:val="none" w:sz="0" w:space="0" w:color="auto"/>
        <w:left w:val="none" w:sz="0" w:space="0" w:color="auto"/>
        <w:bottom w:val="none" w:sz="0" w:space="0" w:color="auto"/>
        <w:right w:val="none" w:sz="0" w:space="0" w:color="auto"/>
      </w:divBdr>
    </w:div>
    <w:div w:id="1385063191">
      <w:bodyDiv w:val="1"/>
      <w:marLeft w:val="0"/>
      <w:marRight w:val="0"/>
      <w:marTop w:val="0"/>
      <w:marBottom w:val="0"/>
      <w:divBdr>
        <w:top w:val="none" w:sz="0" w:space="0" w:color="auto"/>
        <w:left w:val="none" w:sz="0" w:space="0" w:color="auto"/>
        <w:bottom w:val="none" w:sz="0" w:space="0" w:color="auto"/>
        <w:right w:val="none" w:sz="0" w:space="0" w:color="auto"/>
      </w:divBdr>
    </w:div>
    <w:div w:id="1429931302">
      <w:bodyDiv w:val="1"/>
      <w:marLeft w:val="0"/>
      <w:marRight w:val="0"/>
      <w:marTop w:val="0"/>
      <w:marBottom w:val="0"/>
      <w:divBdr>
        <w:top w:val="none" w:sz="0" w:space="0" w:color="auto"/>
        <w:left w:val="none" w:sz="0" w:space="0" w:color="auto"/>
        <w:bottom w:val="none" w:sz="0" w:space="0" w:color="auto"/>
        <w:right w:val="none" w:sz="0" w:space="0" w:color="auto"/>
      </w:divBdr>
    </w:div>
    <w:div w:id="1510294565">
      <w:bodyDiv w:val="1"/>
      <w:marLeft w:val="0"/>
      <w:marRight w:val="0"/>
      <w:marTop w:val="0"/>
      <w:marBottom w:val="0"/>
      <w:divBdr>
        <w:top w:val="none" w:sz="0" w:space="0" w:color="auto"/>
        <w:left w:val="none" w:sz="0" w:space="0" w:color="auto"/>
        <w:bottom w:val="none" w:sz="0" w:space="0" w:color="auto"/>
        <w:right w:val="none" w:sz="0" w:space="0" w:color="auto"/>
      </w:divBdr>
    </w:div>
    <w:div w:id="1519659473">
      <w:bodyDiv w:val="1"/>
      <w:marLeft w:val="0"/>
      <w:marRight w:val="0"/>
      <w:marTop w:val="0"/>
      <w:marBottom w:val="0"/>
      <w:divBdr>
        <w:top w:val="none" w:sz="0" w:space="0" w:color="auto"/>
        <w:left w:val="none" w:sz="0" w:space="0" w:color="auto"/>
        <w:bottom w:val="none" w:sz="0" w:space="0" w:color="auto"/>
        <w:right w:val="none" w:sz="0" w:space="0" w:color="auto"/>
      </w:divBdr>
    </w:div>
    <w:div w:id="1522087368">
      <w:bodyDiv w:val="1"/>
      <w:marLeft w:val="0"/>
      <w:marRight w:val="0"/>
      <w:marTop w:val="0"/>
      <w:marBottom w:val="0"/>
      <w:divBdr>
        <w:top w:val="none" w:sz="0" w:space="0" w:color="auto"/>
        <w:left w:val="none" w:sz="0" w:space="0" w:color="auto"/>
        <w:bottom w:val="none" w:sz="0" w:space="0" w:color="auto"/>
        <w:right w:val="none" w:sz="0" w:space="0" w:color="auto"/>
      </w:divBdr>
    </w:div>
    <w:div w:id="1540818435">
      <w:bodyDiv w:val="1"/>
      <w:marLeft w:val="0"/>
      <w:marRight w:val="0"/>
      <w:marTop w:val="0"/>
      <w:marBottom w:val="0"/>
      <w:divBdr>
        <w:top w:val="none" w:sz="0" w:space="0" w:color="auto"/>
        <w:left w:val="none" w:sz="0" w:space="0" w:color="auto"/>
        <w:bottom w:val="none" w:sz="0" w:space="0" w:color="auto"/>
        <w:right w:val="none" w:sz="0" w:space="0" w:color="auto"/>
      </w:divBdr>
    </w:div>
    <w:div w:id="1569221246">
      <w:bodyDiv w:val="1"/>
      <w:marLeft w:val="0"/>
      <w:marRight w:val="0"/>
      <w:marTop w:val="0"/>
      <w:marBottom w:val="0"/>
      <w:divBdr>
        <w:top w:val="none" w:sz="0" w:space="0" w:color="auto"/>
        <w:left w:val="none" w:sz="0" w:space="0" w:color="auto"/>
        <w:bottom w:val="none" w:sz="0" w:space="0" w:color="auto"/>
        <w:right w:val="none" w:sz="0" w:space="0" w:color="auto"/>
      </w:divBdr>
    </w:div>
    <w:div w:id="1622685781">
      <w:bodyDiv w:val="1"/>
      <w:marLeft w:val="0"/>
      <w:marRight w:val="0"/>
      <w:marTop w:val="0"/>
      <w:marBottom w:val="0"/>
      <w:divBdr>
        <w:top w:val="none" w:sz="0" w:space="0" w:color="auto"/>
        <w:left w:val="none" w:sz="0" w:space="0" w:color="auto"/>
        <w:bottom w:val="none" w:sz="0" w:space="0" w:color="auto"/>
        <w:right w:val="none" w:sz="0" w:space="0" w:color="auto"/>
      </w:divBdr>
    </w:div>
    <w:div w:id="1630747745">
      <w:bodyDiv w:val="1"/>
      <w:marLeft w:val="0"/>
      <w:marRight w:val="0"/>
      <w:marTop w:val="0"/>
      <w:marBottom w:val="0"/>
      <w:divBdr>
        <w:top w:val="none" w:sz="0" w:space="0" w:color="auto"/>
        <w:left w:val="none" w:sz="0" w:space="0" w:color="auto"/>
        <w:bottom w:val="none" w:sz="0" w:space="0" w:color="auto"/>
        <w:right w:val="none" w:sz="0" w:space="0" w:color="auto"/>
      </w:divBdr>
    </w:div>
    <w:div w:id="1699087888">
      <w:bodyDiv w:val="1"/>
      <w:marLeft w:val="0"/>
      <w:marRight w:val="0"/>
      <w:marTop w:val="0"/>
      <w:marBottom w:val="0"/>
      <w:divBdr>
        <w:top w:val="none" w:sz="0" w:space="0" w:color="auto"/>
        <w:left w:val="none" w:sz="0" w:space="0" w:color="auto"/>
        <w:bottom w:val="none" w:sz="0" w:space="0" w:color="auto"/>
        <w:right w:val="none" w:sz="0" w:space="0" w:color="auto"/>
      </w:divBdr>
    </w:div>
    <w:div w:id="1718316691">
      <w:bodyDiv w:val="1"/>
      <w:marLeft w:val="0"/>
      <w:marRight w:val="0"/>
      <w:marTop w:val="0"/>
      <w:marBottom w:val="0"/>
      <w:divBdr>
        <w:top w:val="none" w:sz="0" w:space="0" w:color="auto"/>
        <w:left w:val="none" w:sz="0" w:space="0" w:color="auto"/>
        <w:bottom w:val="none" w:sz="0" w:space="0" w:color="auto"/>
        <w:right w:val="none" w:sz="0" w:space="0" w:color="auto"/>
      </w:divBdr>
    </w:div>
    <w:div w:id="1763647779">
      <w:bodyDiv w:val="1"/>
      <w:marLeft w:val="0"/>
      <w:marRight w:val="0"/>
      <w:marTop w:val="0"/>
      <w:marBottom w:val="0"/>
      <w:divBdr>
        <w:top w:val="none" w:sz="0" w:space="0" w:color="auto"/>
        <w:left w:val="none" w:sz="0" w:space="0" w:color="auto"/>
        <w:bottom w:val="none" w:sz="0" w:space="0" w:color="auto"/>
        <w:right w:val="none" w:sz="0" w:space="0" w:color="auto"/>
      </w:divBdr>
    </w:div>
    <w:div w:id="1786388710">
      <w:bodyDiv w:val="1"/>
      <w:marLeft w:val="0"/>
      <w:marRight w:val="0"/>
      <w:marTop w:val="0"/>
      <w:marBottom w:val="0"/>
      <w:divBdr>
        <w:top w:val="none" w:sz="0" w:space="0" w:color="auto"/>
        <w:left w:val="none" w:sz="0" w:space="0" w:color="auto"/>
        <w:bottom w:val="none" w:sz="0" w:space="0" w:color="auto"/>
        <w:right w:val="none" w:sz="0" w:space="0" w:color="auto"/>
      </w:divBdr>
    </w:div>
    <w:div w:id="1814643159">
      <w:bodyDiv w:val="1"/>
      <w:marLeft w:val="0"/>
      <w:marRight w:val="0"/>
      <w:marTop w:val="0"/>
      <w:marBottom w:val="0"/>
      <w:divBdr>
        <w:top w:val="none" w:sz="0" w:space="0" w:color="auto"/>
        <w:left w:val="none" w:sz="0" w:space="0" w:color="auto"/>
        <w:bottom w:val="none" w:sz="0" w:space="0" w:color="auto"/>
        <w:right w:val="none" w:sz="0" w:space="0" w:color="auto"/>
      </w:divBdr>
    </w:div>
    <w:div w:id="1853375043">
      <w:bodyDiv w:val="1"/>
      <w:marLeft w:val="0"/>
      <w:marRight w:val="0"/>
      <w:marTop w:val="0"/>
      <w:marBottom w:val="0"/>
      <w:divBdr>
        <w:top w:val="none" w:sz="0" w:space="0" w:color="auto"/>
        <w:left w:val="none" w:sz="0" w:space="0" w:color="auto"/>
        <w:bottom w:val="none" w:sz="0" w:space="0" w:color="auto"/>
        <w:right w:val="none" w:sz="0" w:space="0" w:color="auto"/>
      </w:divBdr>
    </w:div>
    <w:div w:id="1886941392">
      <w:bodyDiv w:val="1"/>
      <w:marLeft w:val="0"/>
      <w:marRight w:val="0"/>
      <w:marTop w:val="0"/>
      <w:marBottom w:val="0"/>
      <w:divBdr>
        <w:top w:val="none" w:sz="0" w:space="0" w:color="auto"/>
        <w:left w:val="none" w:sz="0" w:space="0" w:color="auto"/>
        <w:bottom w:val="none" w:sz="0" w:space="0" w:color="auto"/>
        <w:right w:val="none" w:sz="0" w:space="0" w:color="auto"/>
      </w:divBdr>
    </w:div>
    <w:div w:id="1986278578">
      <w:bodyDiv w:val="1"/>
      <w:marLeft w:val="0"/>
      <w:marRight w:val="0"/>
      <w:marTop w:val="0"/>
      <w:marBottom w:val="0"/>
      <w:divBdr>
        <w:top w:val="none" w:sz="0" w:space="0" w:color="auto"/>
        <w:left w:val="none" w:sz="0" w:space="0" w:color="auto"/>
        <w:bottom w:val="none" w:sz="0" w:space="0" w:color="auto"/>
        <w:right w:val="none" w:sz="0" w:space="0" w:color="auto"/>
      </w:divBdr>
    </w:div>
    <w:div w:id="2072531683">
      <w:bodyDiv w:val="1"/>
      <w:marLeft w:val="0"/>
      <w:marRight w:val="0"/>
      <w:marTop w:val="0"/>
      <w:marBottom w:val="0"/>
      <w:divBdr>
        <w:top w:val="none" w:sz="0" w:space="0" w:color="auto"/>
        <w:left w:val="none" w:sz="0" w:space="0" w:color="auto"/>
        <w:bottom w:val="none" w:sz="0" w:space="0" w:color="auto"/>
        <w:right w:val="none" w:sz="0" w:space="0" w:color="auto"/>
      </w:divBdr>
    </w:div>
    <w:div w:id="2075619992">
      <w:bodyDiv w:val="1"/>
      <w:marLeft w:val="0"/>
      <w:marRight w:val="0"/>
      <w:marTop w:val="0"/>
      <w:marBottom w:val="0"/>
      <w:divBdr>
        <w:top w:val="none" w:sz="0" w:space="0" w:color="auto"/>
        <w:left w:val="none" w:sz="0" w:space="0" w:color="auto"/>
        <w:bottom w:val="none" w:sz="0" w:space="0" w:color="auto"/>
        <w:right w:val="none" w:sz="0" w:space="0" w:color="auto"/>
      </w:divBdr>
    </w:div>
    <w:div w:id="21310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C22A8-1BB5-4DF7-BD22-20982ECA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3795</Words>
  <Characters>22393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HM STUDIO a.s.</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Marikovi</dc:creator>
  <cp:lastModifiedBy>Marikovi</cp:lastModifiedBy>
  <cp:revision>2</cp:revision>
  <cp:lastPrinted>2022-11-04T06:55:00Z</cp:lastPrinted>
  <dcterms:created xsi:type="dcterms:W3CDTF">2023-11-07T08:37:00Z</dcterms:created>
  <dcterms:modified xsi:type="dcterms:W3CDTF">2023-11-07T08:37:00Z</dcterms:modified>
</cp:coreProperties>
</file>