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0"/>
        <w:jc w:val="left"/>
        <w:rPr/>
      </w:pPr>
      <w:r>
        <w:rPr>
          <w:rFonts w:cs="Calibri"/>
          <w:color w:val="00ABC5"/>
          <w:sz w:val="118"/>
          <w:szCs w:val="118"/>
        </w:rPr>
        <w:t>ZPRÁVA</w:t>
      </w:r>
    </w:p>
    <w:p>
      <w:pPr>
        <w:pStyle w:val="Normal"/>
        <w:bidi w:val="0"/>
        <w:spacing w:before="0" w:after="160"/>
        <w:jc w:val="left"/>
        <w:rPr/>
      </w:pPr>
      <w:r>
        <w:rPr>
          <w:rFonts w:cs="Calibri"/>
          <w:color w:val="00ABC5"/>
          <w:sz w:val="118"/>
          <w:szCs w:val="118"/>
        </w:rPr>
        <w:t>O HOSPODAŘENÍ</w:t>
      </w:r>
    </w:p>
    <w:p>
      <w:pPr>
        <w:pStyle w:val="Normal"/>
        <w:suppressAutoHyphens w:val="true"/>
        <w:bidi w:val="0"/>
        <w:jc w:val="left"/>
        <w:rPr/>
      </w:pPr>
      <w:r>
        <w:rPr/>
        <mc:AlternateContent>
          <mc:Choice Requires="wps">
            <w:drawing>
              <wp:inline distT="0" distB="0" distL="0" distR="0">
                <wp:extent cx="6413500" cy="9017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413400" cy="901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t" o:allowincell="f" style="position:absolute;margin-left:0pt;margin-top:-71.05pt;width:504.95pt;height:70.95pt;mso-wrap-style:none;v-text-anchor:middle;mso-position-vertical:top" type="_x0000_t75">
                <v:imagedata r:id="rId2" o:detectmouseclick="t"/>
                <v:stroke color="black" joinstyle="round" endcap="flat"/>
                <w10:wrap type="none"/>
              </v:shape>
            </w:pict>
          </mc:Fallback>
        </mc:AlternateConten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p>
      <w:pPr>
        <w:pStyle w:val="Normal"/>
        <w:bidi w:val="0"/>
        <w:spacing w:before="0" w:after="160"/>
        <w:jc w:val="left"/>
        <w:rPr/>
      </w:pPr>
      <w:r>
        <w:rPr/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3232"/>
        <w:gridCol w:w="3232"/>
      </w:tblGrid>
      <w:tr>
        <w:trPr>
          <w:trHeight w:val="300" w:hRule="exact"/>
        </w:trPr>
        <w:tc>
          <w:tcPr>
            <w:tcW w:w="4308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cs="Calibri"/>
                <w:b/>
                <w:color w:val="00ABC5"/>
                <w:sz w:val="26"/>
                <w:szCs w:val="26"/>
              </w:rPr>
              <w:t>Nemovitost:</w:t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cs="Calibri"/>
                <w:b/>
                <w:color w:val="00ABC5"/>
                <w:sz w:val="26"/>
                <w:szCs w:val="26"/>
              </w:rPr>
              <w:t>Účetní období:</w:t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4308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Plzeňská 947-951, SVJ</w:t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2022</w:t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4308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15000, Praha 5</w:t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232" w:type="dxa"/>
            <w:tcBorders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/>
              <w:t>Sestaveno dne: 02.10.2023</w:t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567" w:right="567" w:gutter="0" w:header="720" w:top="1418" w:footer="0" w:bottom="113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adpis2"/>
        <w:bidi w:val="0"/>
        <w:jc w:val="left"/>
        <w:rPr/>
      </w:pPr>
      <w:bookmarkStart w:id="0" w:name="_Toc252634155"/>
      <w:r>
        <w:rPr/>
        <w:t>PŘÍSPĚVEK NA SPRÁVU DOMU A POZEMKU (FOND OPRAV)</w:t>
      </w:r>
      <w:bookmarkEnd w:id="0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8"/>
        <w:gridCol w:w="2693"/>
      </w:tblGrid>
      <w:tr>
        <w:trPr/>
        <w:tc>
          <w:tcPr>
            <w:tcW w:w="8078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Počáteční stav: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b/>
              </w:rPr>
              <w:t>4.722.694,26</w:t>
            </w:r>
          </w:p>
        </w:tc>
      </w:tr>
      <w:tr>
        <w:trPr/>
        <w:tc>
          <w:tcPr>
            <w:tcW w:w="8078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Tvorba: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b/>
              </w:rPr>
              <w:t>2.539.422,00</w:t>
            </w:r>
          </w:p>
        </w:tc>
      </w:tr>
      <w:tr>
        <w:trPr/>
        <w:tc>
          <w:tcPr>
            <w:tcW w:w="8078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Čerpání: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b/>
              </w:rPr>
              <w:t>1.377.264,91</w:t>
            </w:r>
          </w:p>
        </w:tc>
      </w:tr>
      <w:tr>
        <w:trPr/>
        <w:tc>
          <w:tcPr>
            <w:tcW w:w="8078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Zůstatek k 31.12.2022: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b/>
              </w:rPr>
              <w:t>5.884.851,35</w:t>
            </w:r>
          </w:p>
        </w:tc>
      </w:tr>
    </w:tbl>
    <w:p>
      <w:pPr>
        <w:pStyle w:val="Normal"/>
        <w:suppressAutoHyphens w:val="true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0"/>
        <w:gridCol w:w="7181"/>
      </w:tblGrid>
      <w:tr>
        <w:trPr/>
        <w:tc>
          <w:tcPr>
            <w:tcW w:w="3590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768600" cy="2768600"/>
                      <wp:effectExtent l="0" t="0" r="0" b="0"/>
                      <wp:docPr id="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 descr=""/>
                              <pic:cNvPicPr/>
                            </pic:nvPicPr>
                            <pic:blipFill>
                              <a:blip r:embed="rId4"/>
                              <a:stretch/>
                            </pic:blipFill>
                            <pic:spPr>
                              <a:xfrm>
                                <a:off x="0" y="0"/>
                                <a:ext cx="2768760" cy="2768760"/>
                              </a:xfrm>
                              <a:prstGeom prst="rect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t" o:allowincell="t" style="position:absolute;margin-left:0pt;margin-top:-218.05pt;width:217.95pt;height:217.95pt;mso-wrap-style:none;v-text-anchor:middle;mso-position-vertical:top" type="_x0000_t75">
                      <v:imagedata r:id="rId4" o:detectmouseclick="t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7181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FED380"/>
                <w:sz w:val="36"/>
                <w:szCs w:val="36"/>
              </w:rPr>
              <w:t>•</w:t>
            </w:r>
            <w:r>
              <w:rPr/>
              <w:t>Čerpané prostředky (1.377.264,91 Kč)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BFEB81"/>
                <w:sz w:val="36"/>
                <w:szCs w:val="36"/>
              </w:rPr>
              <w:t>•</w:t>
            </w:r>
            <w:r>
              <w:rPr/>
              <w:t xml:space="preserve"> </w:t>
            </w:r>
            <w:r>
              <w:rPr/>
              <w:t>Volné prostředky (5.884.851,35 Kč)</w:t>
            </w:r>
          </w:p>
        </w:tc>
      </w:tr>
    </w:tbl>
    <w:p>
      <w:pPr>
        <w:pStyle w:val="Normal"/>
        <w:suppressAutoHyphens w:val="true"/>
        <w:bidi w:val="0"/>
        <w:jc w:val="left"/>
        <w:rPr/>
      </w:pPr>
      <w:r>
        <w:rPr/>
      </w:r>
    </w:p>
    <w:p>
      <w:pPr>
        <w:pStyle w:val="Nadpis3"/>
        <w:bidi w:val="0"/>
        <w:jc w:val="left"/>
        <w:rPr/>
      </w:pPr>
      <w:bookmarkStart w:id="1" w:name="_Toc252634156"/>
      <w:r>
        <w:rPr/>
        <w:t>Výpis největších položek (nad 100 Kč)</w:t>
      </w:r>
      <w:bookmarkEnd w:id="1"/>
    </w:p>
    <w:p>
      <w:pPr>
        <w:pStyle w:val="Nadpis4"/>
        <w:bidi w:val="0"/>
        <w:jc w:val="left"/>
        <w:rPr/>
      </w:pPr>
      <w:bookmarkStart w:id="2" w:name="_Toc252634157"/>
      <w:r>
        <w:rPr/>
        <w:t>955000 - Příspěvek na podíl</w:t>
      </w:r>
      <w:bookmarkEnd w:id="2"/>
    </w:p>
    <w:tbl>
      <w:tblPr>
        <w:tblStyle w:val="myOwnTableStyle"/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264"/>
        <w:gridCol w:w="1963"/>
        <w:gridCol w:w="4782"/>
        <w:gridCol w:w="1762"/>
      </w:tblGrid>
      <w:tr>
        <w:trPr/>
        <w:tc>
          <w:tcPr>
            <w:tcW w:w="2264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Doklad vystaven</w:t>
            </w:r>
          </w:p>
        </w:tc>
        <w:tc>
          <w:tcPr>
            <w:tcW w:w="1963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Dodavatel</w:t>
            </w:r>
          </w:p>
        </w:tc>
        <w:tc>
          <w:tcPr>
            <w:tcW w:w="4782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Popis</w:t>
            </w:r>
          </w:p>
        </w:tc>
        <w:tc>
          <w:tcPr>
            <w:tcW w:w="1762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Částka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03.01.2022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03.02.2022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08.02.2022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Michal NOVÁK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Kontrola okapu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4.830,00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16.02.2022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Michal NOVÁK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Opravy na střeše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13.283,00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01.03.2022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Ing. Jan Voldřich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Likvidace plísně byt 948/14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1.210,00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03.03.2022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11.03.2022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Karel Nejdl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Opravy ve spol. prostorech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18.200,00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11.03.2022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Karel Nejdl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Opravy ve spol. prostorech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12.382,00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01.04.2022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06.04.2022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Marek Hora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Pročištění okapu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8.683,00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06.04.2022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Marek Hora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Oprava poklopu na dvoře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2.515,00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06.04.2022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Stanislav KANDUS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Protipožární prohlídka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15.282,30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06.04.2022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Marek Hora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Pročištění okapu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4.830,00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25.04.2022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Pražské vodovody a kanalizace, a.s.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Zkouška vodoměru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3.804,00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03.05.2022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05.05.2022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Ondřej Janoušek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Revize plynu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15.904,00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16.05.2022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Jiří Šigut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Oprava zdí po zatelké vodě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14.214,00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24.05.2022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A A A - Záchranná technická služba,spol. s 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Tlakové čištění kanalizace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16.956,94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31.05.2022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A A A - Záchranná technická služba,spol. s 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Kontrola kanaliazce v krytu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3.160,60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03.06.2022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23.06.2022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Ladislav Husník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Sanace krytu CO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17.200,00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23.06.2022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Ladislav Husník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Instalace hrotů proti holubům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41.980,00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27.06.2022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Roman Muselík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Komínové lávky a střešní výlezy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690.000,00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01.07.2022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20.07.2022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Parkers  s.r.o.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Prověření zatékání do bytu 949/1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1.331,00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03.08.2022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17.08.2022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Marek Hora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Čištění kanalizace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5.543,00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17.08.2022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PROMSAT CZ s.r.o.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Kontrola STA v bytě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1.082,95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17.08.2022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Marek Hora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Kontrola rozvodů SV a TUV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3.745,00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20.08.2022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Parkers  s.r.o.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činnost technika 8/2022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665,00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02.09.2022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06.09.2022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Technical - Praha s. r. 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Strojové čištění kanalizace 950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47.322,50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06.09.2022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Technical - Praha s. r. 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Strojové čištění kanalizace 947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21.160,00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06.09.2022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Technical - Praha s. r. 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Strojové čištění kanalizace 949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34.442,50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06.09.2022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Technical - Praha s. r. 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Strojové čištění kanalizace 951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53.360,00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06.09.2022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Technical - Praha s. r. 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Strojové čištění kanalizace 948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29.210,00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19.09.2022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Parkers  s.r.o.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činnost technika 9/2022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665,00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03.10.2022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17.10.2022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A A A - Záchranná technická služba,spol. s 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Opravy v bytě 951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1.850,50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24.10.2022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JK SERVIS KRYTY s.r.o.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Revize FVZ v krytech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35.574,00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27.10.2022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Schindler CZ, a.s.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Oprava výtahu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1.265,00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03.11.2022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10.11.2022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Schindler CZ, a.s.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Oprava výtahu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5.261,25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16.11.2022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Roman Muselík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Tesařské práce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166.718,40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16.11.2022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Roman Muselík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Tesařské práce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23.000,00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22.11.2022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Atop-aqua s.r.o.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Opravy potrubí v bytech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26.724,00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22.11.2022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SPM MANUFAKTURA s.r.o.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Smaltovaná cedule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710,00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29.11.2022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Schindler CZ, a.s.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Oprava výtahu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5.060,00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02.12.2022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PLATBA ZA CIPY-PARKOVANI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05.12.2022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Němec Miloslav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Opravy v bytě Šindelářová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4.500,00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06.12.2022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Schindler CZ, a.s.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Oprava výtahu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1.897,50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14.12.2022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M-SERVICES s.r.o.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Revize elektroinstalace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7.248,00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20.12.2022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Parkers  s.r.o.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organizace shromáždění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10.285,00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20.12.2022</w:t>
            </w:r>
          </w:p>
        </w:tc>
        <w:tc>
          <w:tcPr>
            <w:tcW w:w="19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Parkers  s.r.o.</w:t>
            </w:r>
          </w:p>
        </w:tc>
        <w:tc>
          <w:tcPr>
            <w:tcW w:w="478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odečty měřidel</w:t>
            </w:r>
          </w:p>
        </w:tc>
        <w:tc>
          <w:tcPr>
            <w:tcW w:w="1762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665,00</w:t>
            </w:r>
          </w:p>
        </w:tc>
      </w:tr>
    </w:tbl>
    <w:p>
      <w:pPr>
        <w:pStyle w:val="Normal"/>
        <w:suppressAutoHyphens w:val="true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left"/>
        <w:rPr/>
      </w:pPr>
      <w:r>
        <w:rPr/>
      </w:r>
    </w:p>
    <w:p>
      <w:pPr>
        <w:pStyle w:val="Nadpis2"/>
        <w:bidi w:val="0"/>
        <w:jc w:val="left"/>
        <w:rPr/>
      </w:pPr>
      <w:bookmarkStart w:id="3" w:name="_Toc252634158"/>
      <w:r>
        <w:rPr/>
        <w:t>BANKOVNÍ ÚČTY</w:t>
      </w:r>
      <w:bookmarkEnd w:id="3"/>
    </w:p>
    <w:tbl>
      <w:tblPr>
        <w:tblStyle w:val="myOwnTableStyle"/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5385"/>
        <w:gridCol w:w="5386"/>
      </w:tblGrid>
      <w:tr>
        <w:trPr/>
        <w:tc>
          <w:tcPr>
            <w:tcW w:w="5385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Číslo účtu</w:t>
            </w:r>
          </w:p>
        </w:tc>
        <w:tc>
          <w:tcPr>
            <w:tcW w:w="5386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Zůstatek k 31.12.2022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107-5666850207/0100</w:t>
            </w:r>
          </w:p>
        </w:tc>
        <w:tc>
          <w:tcPr>
            <w:tcW w:w="538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5.830.046,96</w:t>
            </w:r>
          </w:p>
        </w:tc>
      </w:tr>
    </w:tbl>
    <w:p>
      <w:pPr>
        <w:pStyle w:val="Normal"/>
        <w:suppressAutoHyphens w:val="true"/>
        <w:bidi w:val="0"/>
        <w:jc w:val="left"/>
        <w:rPr/>
      </w:pPr>
      <w:r>
        <w:rPr/>
      </w:r>
    </w:p>
    <w:p>
      <w:pPr>
        <w:pStyle w:val="Nadpis2"/>
        <w:bidi w:val="0"/>
        <w:jc w:val="left"/>
        <w:rPr/>
      </w:pPr>
      <w:bookmarkStart w:id="4" w:name="_Toc252634159"/>
      <w:r>
        <w:rPr/>
        <w:t>VÝVOJ PŘEPLATKŮ A NEDOPLATKŮ NA PŘEDEPSANÝCH PLATBÁCH</w:t>
      </w:r>
      <w:bookmarkEnd w:id="4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0"/>
        <w:gridCol w:w="3591"/>
      </w:tblGrid>
      <w:tr>
        <w:trPr/>
        <w:tc>
          <w:tcPr>
            <w:tcW w:w="7180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Výpis pořízen k:</w:t>
            </w:r>
          </w:p>
        </w:tc>
        <w:tc>
          <w:tcPr>
            <w:tcW w:w="3591" w:type="dxa"/>
            <w:tcBorders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b/>
              </w:rPr>
              <w:t>31.12.2022</w:t>
            </w:r>
          </w:p>
        </w:tc>
      </w:tr>
      <w:tr>
        <w:trPr/>
        <w:tc>
          <w:tcPr>
            <w:tcW w:w="7180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Nedoplatky celkem:</w:t>
            </w:r>
          </w:p>
        </w:tc>
        <w:tc>
          <w:tcPr>
            <w:tcW w:w="3591" w:type="dxa"/>
            <w:tcBorders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b/>
              </w:rPr>
              <w:t>53.098,47</w:t>
            </w:r>
          </w:p>
        </w:tc>
      </w:tr>
      <w:tr>
        <w:trPr/>
        <w:tc>
          <w:tcPr>
            <w:tcW w:w="7180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Přeplatky celkem:</w:t>
            </w:r>
          </w:p>
        </w:tc>
        <w:tc>
          <w:tcPr>
            <w:tcW w:w="3591" w:type="dxa"/>
            <w:tcBorders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b/>
              </w:rPr>
              <w:t>73.196,00</w:t>
            </w:r>
          </w:p>
        </w:tc>
      </w:tr>
      <w:tr>
        <w:trPr/>
        <w:tc>
          <w:tcPr>
            <w:tcW w:w="7180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Saldo přeplatků a nedoplatků:</w:t>
            </w:r>
          </w:p>
        </w:tc>
        <w:tc>
          <w:tcPr>
            <w:tcW w:w="3591" w:type="dxa"/>
            <w:tcBorders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b/>
              </w:rPr>
              <w:t>20.097,53</w:t>
            </w:r>
          </w:p>
        </w:tc>
      </w:tr>
    </w:tbl>
    <w:p>
      <w:pPr>
        <w:pStyle w:val="Normal"/>
        <w:suppressAutoHyphens w:val="true"/>
        <w:bidi w:val="0"/>
        <w:jc w:val="left"/>
        <w:rPr/>
      </w:pPr>
      <w:r>
        <w:rPr/>
      </w:r>
    </w:p>
    <w:p>
      <w:pPr>
        <w:pStyle w:val="Nadpis3"/>
        <w:bidi w:val="0"/>
        <w:jc w:val="left"/>
        <w:rPr/>
      </w:pPr>
      <w:bookmarkStart w:id="5" w:name="_Toc252634160"/>
      <w:r>
        <w:rPr/>
        <w:t>Přehled subjektů s evidovanými nedoplatky většími než 100 Kč</w:t>
      </w:r>
      <w:bookmarkEnd w:id="5"/>
    </w:p>
    <w:tbl>
      <w:tblPr>
        <w:tblStyle w:val="myOwnTableStyle"/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723"/>
        <w:gridCol w:w="5286"/>
        <w:gridCol w:w="1763"/>
      </w:tblGrid>
      <w:tr>
        <w:trPr/>
        <w:tc>
          <w:tcPr>
            <w:tcW w:w="3723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Jméno</w:t>
            </w:r>
          </w:p>
        </w:tc>
        <w:tc>
          <w:tcPr>
            <w:tcW w:w="5286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Objekt</w:t>
            </w:r>
          </w:p>
        </w:tc>
        <w:tc>
          <w:tcPr>
            <w:tcW w:w="1763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Částka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Abou Bassam Alsoud</w:t>
            </w:r>
          </w:p>
        </w:tc>
        <w:tc>
          <w:tcPr>
            <w:tcW w:w="528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Plzeňská 951/125, Praha 5/byt 002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-160,00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Drefko Dušan</w:t>
            </w:r>
          </w:p>
        </w:tc>
        <w:tc>
          <w:tcPr>
            <w:tcW w:w="528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Plzeňská 951/125, Praha 5/byt 017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-7.181,00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Duongová Hoai Uyen</w:t>
            </w:r>
          </w:p>
        </w:tc>
        <w:tc>
          <w:tcPr>
            <w:tcW w:w="528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Plzeňská 947/129b, Praha 5/byt 009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-40.980,00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Jech Jakub</w:t>
            </w:r>
          </w:p>
        </w:tc>
        <w:tc>
          <w:tcPr>
            <w:tcW w:w="528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Plzeňská 948/129a, Praha 5/byt 006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-430,00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Machová Nicole</w:t>
            </w:r>
          </w:p>
        </w:tc>
        <w:tc>
          <w:tcPr>
            <w:tcW w:w="528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Plzeňská 950/127, Praha 5/byt 016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-132,00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Tenytskyy Dmytro</w:t>
            </w:r>
          </w:p>
        </w:tc>
        <w:tc>
          <w:tcPr>
            <w:tcW w:w="5286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Plzeňská 949/129, Praha 5/byt 009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-4.214,00</w:t>
            </w:r>
          </w:p>
        </w:tc>
      </w:tr>
    </w:tbl>
    <w:p>
      <w:pPr>
        <w:pStyle w:val="Normal"/>
        <w:bidi w:val="0"/>
        <w:jc w:val="left"/>
        <w:rPr/>
      </w:pPr>
      <w:r>
        <w:br w:type="page"/>
      </w:r>
      <w:r>
        <w:rPr/>
      </w:r>
    </w:p>
    <w:p>
      <w:pPr>
        <w:pStyle w:val="Nadpis2"/>
        <w:bidi w:val="0"/>
        <w:jc w:val="left"/>
        <w:rPr/>
      </w:pPr>
      <w:bookmarkStart w:id="6" w:name="_Toc252634161"/>
      <w:r>
        <w:rPr/>
        <w:t>NÁKLADY NA SLUŽBY</w:t>
      </w:r>
      <w:bookmarkEnd w:id="6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6925"/>
      </w:tblGrid>
      <w:tr>
        <w:trPr/>
        <w:tc>
          <w:tcPr>
            <w:tcW w:w="3846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2304415" cy="2768600"/>
                      <wp:effectExtent l="0" t="0" r="0" b="0"/>
                      <wp:docPr id="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2304360" cy="2768760"/>
                              </a:xfrm>
                              <a:prstGeom prst="rect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 id="shape_0" stroked="t" o:allowincell="t" style="position:absolute;margin-left:0pt;margin-top:-218.05pt;width:181.4pt;height:217.95pt;mso-wrap-style:none;v-text-anchor:middle;mso-position-vertical:top" type="_x0000_t75">
                      <v:imagedata r:id="rId5" o:detectmouseclick="t"/>
                      <v:stroke color="black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6925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BFEB81"/>
                <w:sz w:val="30"/>
                <w:szCs w:val="30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Teplo (861.409 Kč)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FED380"/>
                <w:sz w:val="30"/>
                <w:szCs w:val="30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Vodné/stočné (828.111 Kč)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A58DFE"/>
                <w:sz w:val="30"/>
                <w:szCs w:val="30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TUV (604.972 Kč)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84E9EF"/>
                <w:sz w:val="30"/>
                <w:szCs w:val="30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Odpad (286.000 Kč)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FE8DDB"/>
                <w:sz w:val="30"/>
                <w:szCs w:val="30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Provozní náklady (263.098 Kč)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80D704"/>
                <w:sz w:val="30"/>
                <w:szCs w:val="30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Správa domu (246.000 Kč)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FEA804"/>
                <w:sz w:val="30"/>
                <w:szCs w:val="30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Úklid (130.727 Kč)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4B1CFD"/>
                <w:sz w:val="30"/>
                <w:szCs w:val="30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Výtah (103.087 Kč)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0BD3DF"/>
                <w:sz w:val="30"/>
                <w:szCs w:val="30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Pojištění domu (65.865 Kč)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929293"/>
                <w:sz w:val="30"/>
                <w:szCs w:val="30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Elektřina (34.618 Kč)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/>
            </w:pPr>
            <w:r>
              <w:rPr>
                <w:color w:val="DFEB91"/>
                <w:sz w:val="30"/>
                <w:szCs w:val="30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 (12.052 Kč)</w:t>
            </w:r>
          </w:p>
        </w:tc>
      </w:tr>
    </w:tbl>
    <w:p>
      <w:pPr>
        <w:pStyle w:val="Nadpis3"/>
        <w:bidi w:val="0"/>
        <w:jc w:val="left"/>
        <w:rPr/>
      </w:pPr>
      <w:bookmarkStart w:id="7" w:name="_Toc252634162"/>
      <w:r>
        <w:rPr/>
        <w:t>Porovnání záloh a nákladů na služby</w:t>
      </w:r>
      <w:bookmarkEnd w:id="7"/>
    </w:p>
    <w:tbl>
      <w:tblPr>
        <w:tblStyle w:val="myOwnTableStyle"/>
        <w:tblW w:w="5000" w:type="pct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723"/>
        <w:gridCol w:w="2350"/>
        <w:gridCol w:w="2348"/>
        <w:gridCol w:w="2350"/>
      </w:tblGrid>
      <w:tr>
        <w:trPr/>
        <w:tc>
          <w:tcPr>
            <w:tcW w:w="3723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Složka</w:t>
            </w:r>
          </w:p>
        </w:tc>
        <w:tc>
          <w:tcPr>
            <w:tcW w:w="2350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Zálohy</w:t>
            </w:r>
          </w:p>
        </w:tc>
        <w:tc>
          <w:tcPr>
            <w:tcW w:w="2348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Náklady</w:t>
            </w:r>
          </w:p>
        </w:tc>
        <w:tc>
          <w:tcPr>
            <w:tcW w:w="2350" w:type="dxa"/>
            <w:tcBorders/>
            <w:shd w:color="auto" w:fill="00ABC5" w:val="clea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Rozdíl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Pojištění domu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48.144,00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65.865,00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</w:t>
            </w: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17.221,00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Vodné/stočné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405.472,00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828.111,00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-422.639,00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Teplo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1.289.688,00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861.408,95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428.279,05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TUV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829.269,00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604.971,83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224.297,17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Úklid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113.160,00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130.727,20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-17.567,20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Elektřina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40.080,00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34.618,00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5.462,00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Odpad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109.932,00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286.000,00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-176.068,00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Výtah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84.576,00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103.086,60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-18.510,60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STA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13.452,00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12.051,60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1.400,40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Provozní náklady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124.236,00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263.098,07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</w:t>
            </w: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138.862,07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Správa domu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227.136,00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</w:rPr>
              <w:t>246.000,00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</w:t>
            </w: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18.864,00</w:t>
            </w:r>
          </w:p>
        </w:tc>
      </w:tr>
      <w:tr>
        <w:trPr/>
        <w:tc>
          <w:tcPr>
            <w:tcW w:w="3723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Celkem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3.285.145,00</w:t>
            </w:r>
          </w:p>
        </w:tc>
        <w:tc>
          <w:tcPr>
            <w:tcW w:w="2348" w:type="dxa"/>
            <w:tcBorders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3.435.938,25</w:t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Calibri" w:cs="Calibri"/>
                <w:kern w:val="0"/>
                <w:sz w:val="24"/>
                <w:szCs w:val="24"/>
              </w:rPr>
            </w:pPr>
            <w:r>
              <w:rPr>
                <w:rFonts w:eastAsia="Calibri" w:cs="Calibri"/>
                <w:b/>
                <w:kern w:val="0"/>
                <w:sz w:val="24"/>
                <w:szCs w:val="24"/>
              </w:rPr>
              <w:t>-150.793,25</w:t>
            </w:r>
          </w:p>
        </w:tc>
      </w:tr>
    </w:tbl>
    <w:p>
      <w:pPr>
        <w:pStyle w:val="Normal"/>
        <w:suppressAutoHyphens w:val="true"/>
        <w:bidi w:val="0"/>
        <w:jc w:val="left"/>
        <w:rPr/>
      </w:pPr>
      <w:r>
        <w:rPr/>
      </w:r>
    </w:p>
    <w:p>
      <w:pPr>
        <w:pStyle w:val="Normal"/>
        <w:suppressAutoHyphens w:val="true"/>
        <w:bidi w:val="0"/>
        <w:jc w:val="left"/>
        <w:rPr/>
      </w:pPr>
      <w:r>
        <w:rPr>
          <w:b/>
          <w:sz w:val="26"/>
          <w:szCs w:val="26"/>
        </w:rPr>
        <w:t xml:space="preserve">Aktuální informace naleznete v IFM24 – </w:t>
      </w:r>
      <w:hyperlink r:id="rId6">
        <w:r>
          <w:rPr>
            <w:b/>
            <w:color w:val="00000B"/>
            <w:sz w:val="26"/>
            <w:szCs w:val="26"/>
            <w:u w:val="single"/>
          </w:rPr>
          <w:t>https://www.ifm24.cz/</w:t>
        </w:r>
      </w:hyperlink>
    </w:p>
    <w:p>
      <w:pPr>
        <w:pStyle w:val="Normal"/>
        <w:suppressAutoHyphens w:val="true"/>
        <w:bidi w:val="0"/>
        <w:jc w:val="left"/>
        <w:rPr/>
      </w:pPr>
      <w:r>
        <w:rPr/>
      </w:r>
    </w:p>
    <w:sectPr>
      <w:headerReference w:type="default" r:id="rId7"/>
      <w:type w:val="nextPage"/>
      <w:pgSz w:w="11906" w:h="16838"/>
      <w:pgMar w:left="567" w:right="567" w:gutter="0" w:header="720" w:top="141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04"/>
      <w:gridCol w:w="10067"/>
    </w:tblGrid>
    <w:tr>
      <w:trPr>
        <w:trHeight w:val="500" w:hRule="exact"/>
      </w:trPr>
      <w:tc>
        <w:tcPr>
          <w:tcW w:w="704" w:type="dxa"/>
          <w:tcBorders/>
          <w:shd w:color="auto" w:fill="009BBA" w:val="clear"/>
        </w:tcPr>
        <w:p>
          <w:pPr>
            <w:pStyle w:val="Normal"/>
            <w:widowControl w:val="false"/>
            <w:bidi w:val="0"/>
            <w:spacing w:before="0" w:after="0"/>
            <w:jc w:val="center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  <w:tc>
        <w:tcPr>
          <w:tcW w:w="10067" w:type="dxa"/>
          <w:tcBorders/>
        </w:tcPr>
        <w:p>
          <w:pPr>
            <w:pStyle w:val="Normal"/>
            <w:widowControl w:val="false"/>
            <w:bidi w:val="0"/>
            <w:jc w:val="left"/>
            <w:rPr/>
          </w:pPr>
          <w:r>
            <w:rPr/>
            <mc:AlternateContent>
              <mc:Choice Requires="wps">
                <w:drawing>
                  <wp:inline distT="0" distB="0" distL="0" distR="0">
                    <wp:extent cx="6197600" cy="330200"/>
                    <wp:effectExtent l="0" t="0" r="0" b="0"/>
                    <wp:docPr id="4" name="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6197760" cy="330120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 id="shape_0" stroked="t" o:allowincell="t" style="position:absolute;margin-left:0pt;margin-top:-26.05pt;width:487.95pt;height:25.95pt;mso-wrap-style:none;v-text-anchor:middle;mso-position-vertical:top" type="_x0000_t75">
                    <v:imagedata r:id="rId1" o:detectmouseclick="t"/>
                    <v:stroke color="black" joinstyle="round" endcap="flat"/>
                    <w10:wrap type="none"/>
                  </v:shape>
                </w:pict>
              </mc:Fallback>
            </mc:AlternateContent>
          </w:r>
        </w:p>
      </w:tc>
    </w:tr>
    <w:tr>
      <w:trPr>
        <w:trHeight w:val="350" w:hRule="exact"/>
      </w:trPr>
      <w:tc>
        <w:tcPr>
          <w:tcW w:w="704" w:type="dxa"/>
          <w:tcBorders/>
        </w:tcPr>
        <w:p>
          <w:pPr>
            <w:pStyle w:val="Normal"/>
            <w:widowControl w:val="false"/>
            <w:bidi w:val="0"/>
            <w:jc w:val="left"/>
            <w:rPr/>
          </w:pPr>
          <w:r>
            <w:rPr/>
          </w:r>
        </w:p>
      </w:tc>
      <w:tc>
        <w:tcPr>
          <w:tcW w:w="10067" w:type="dxa"/>
          <w:tcBorders/>
        </w:tcPr>
        <w:p>
          <w:pPr>
            <w:pStyle w:val="Normal"/>
            <w:widowControl w:val="false"/>
            <w:bidi w:val="0"/>
            <w:jc w:val="left"/>
            <w:rPr/>
          </w:pPr>
          <w:r>
            <w:rPr/>
            <mc:AlternateContent>
              <mc:Choice Requires="wps">
                <w:drawing>
                  <wp:inline distT="0" distB="0" distL="0" distR="0">
                    <wp:extent cx="6197600" cy="152400"/>
                    <wp:effectExtent l="0" t="0" r="0" b="0"/>
                    <wp:docPr id="5" name="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0" y="0"/>
                              <a:ext cx="6197760" cy="152280"/>
                            </a:xfrm>
                            <a:prstGeom prst="rect">
                              <a:avLst/>
                            </a:prstGeom>
                            <a:ln w="0">
                              <a:solidFill>
                                <a:srgbClr val="000000"/>
                              </a:solidFill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 id="shape_0" stroked="t" o:allowincell="t" style="position:absolute;margin-left:0pt;margin-top:-12.05pt;width:487.95pt;height:11.95pt;mso-wrap-style:none;v-text-anchor:middle;mso-position-vertical:top" type="_x0000_t75">
                    <v:imagedata r:id="rId2" o:detectmouseclick="t"/>
                    <v:stroke color="black" joinstyle="round" endcap="flat"/>
                    <w10:wrap type="none"/>
                  </v:shape>
                </w:pict>
              </mc:Fallback>
            </mc:AlternateContent>
          </w:r>
        </w:p>
      </w:tc>
    </w:tr>
  </w:tbl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Calibri" w:hAnsi="Calibri" w:eastAsia="Calibri" w:cs="Calibri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qFormat/>
    <w:pPr/>
    <w:rPr>
      <w:rFonts w:ascii="Calibri" w:hAnsi="Calibri" w:cs="Calibri"/>
      <w:color w:val="00ABC5"/>
      <w:sz w:val="118"/>
      <w:szCs w:val="118"/>
    </w:rPr>
  </w:style>
  <w:style w:type="paragraph" w:styleId="Nadpis2">
    <w:name w:val="Heading 2"/>
    <w:basedOn w:val="Nadpis"/>
    <w:qFormat/>
    <w:pPr/>
    <w:rPr>
      <w:rFonts w:ascii="Calibri" w:hAnsi="Calibri" w:cs="Calibri"/>
      <w:b/>
      <w:color w:val="00ABC5"/>
      <w:sz w:val="32"/>
      <w:szCs w:val="32"/>
    </w:rPr>
  </w:style>
  <w:style w:type="paragraph" w:styleId="Nadpis3">
    <w:name w:val="Heading 3"/>
    <w:basedOn w:val="Nadpis"/>
    <w:qFormat/>
    <w:pPr/>
    <w:rPr>
      <w:rFonts w:ascii="Calibri" w:hAnsi="Calibri" w:cs="Calibri"/>
      <w:b/>
      <w:color w:val="00ABC5"/>
      <w:sz w:val="26"/>
      <w:szCs w:val="26"/>
    </w:rPr>
  </w:style>
  <w:style w:type="paragraph" w:styleId="Nadpis4">
    <w:name w:val="Heading 4"/>
    <w:basedOn w:val="Nadpis"/>
    <w:qFormat/>
    <w:pPr/>
    <w:rPr>
      <w:rFonts w:ascii="Calibri" w:hAnsi="Calibri" w:cs="Calibri"/>
      <w:b/>
      <w:color w:val="00ABC5"/>
      <w:sz w:val="26"/>
      <w:szCs w:val="26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table" w:customStyle="1" w:styleId="myOwnTableStyle">
    <w:name w:val="myOwnTableStyle"/>
    <w:uiPriority w:val="99"/>
    <w:tblPr>
      <w:tblBorders>
        <w:top w:val="single" w:color="00ABC5" w:sz="6"/>
        <w:left w:val="single" w:color="00ABC5" w:sz="6"/>
        <w:right w:val="single" w:color="00ABC5" w:sz="6"/>
        <w:bottom w:val="single" w:color="00ABC5" w:sz="6"/>
        <w:insideH w:val="single" w:color="00ABC5" w:sz="6"/>
        <w:insideV w:val="single" w:color="00ABC5" w:sz="6"/>
      </w:tblBorders>
      <w:tblCellMar>
        <w:top w:w="80" w:type="dxa"/>
        <w:left w:w="80" w:type="dxa"/>
        <w:right w:w="80" w:type="dxa"/>
        <w:bottom w:w="80" w:type="dxa"/>
      </w:tblCellMar>
    </w:tblPr>
    <w:tblStylePr w:type="firstRow">
      <w:tblPr/>
      <w:tcPr>
        <w:shd w:val="clear" w:color="auto" w:fill="00ABC5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yperlink" Target="https://www.ifm24.cz/" TargetMode="Externa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LibreOffice/7.3.2.2$Windows_X86_64 LibreOffice_project/49f2b1bff42cfccbd8f788c8dc32c1c309559be0</Application>
  <AppVersion>15.0000</AppVersion>
  <Pages>7</Pages>
  <Words>685</Words>
  <Characters>4506</Characters>
  <CharactersWithSpaces>4881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2023-10-02T07:03:07Z</dcterms:created>
  <dc:creator/>
  <dc:description/>
  <dc:language>cs-CZ</dc:language>
  <cp:lastModifiedBy/>
  <dcterms:modified xsi:type="dcterms:W3CDTF">2023-10-02T09:07:27Z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